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1e0a1a0dcb3022dd849cfed356ac91c977c11a1"/>
    <w:p>
      <w:pPr>
        <w:pStyle w:val="Heading1"/>
      </w:pPr>
      <w:r>
        <w:t xml:space="preserve">Variant Calling / Alignment Interview Study Guide</w:t>
      </w:r>
    </w:p>
    <w:bookmarkStart w:id="23" w:name="bwa-vs-star"/>
    <w:p>
      <w:pPr>
        <w:pStyle w:val="Heading2"/>
      </w:pPr>
      <w:r>
        <w:t xml:space="preserve">1. BWA vs STAR</w:t>
      </w:r>
    </w:p>
    <w:p>
      <w:pPr>
        <w:pStyle w:val="FirstParagraph"/>
      </w:pPr>
      <w:r>
        <w:rPr>
          <w:b/>
          <w:bCs/>
        </w:rPr>
        <w:t xml:space="preserve">BWA</w:t>
      </w:r>
      <w:r>
        <w:t xml:space="preserve"> </w:t>
      </w:r>
      <w:r>
        <w:t xml:space="preserve">is for DNA-seq.</w:t>
      </w:r>
      <w:r>
        <w:br/>
      </w:r>
      <w:r>
        <w:rPr>
          <w:b/>
          <w:bCs/>
        </w:rPr>
        <w:t xml:space="preserve">STAR</w:t>
      </w:r>
      <w:r>
        <w:t xml:space="preserve"> </w:t>
      </w:r>
      <w:r>
        <w:t xml:space="preserve">is for RNA-seq.</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BWA</w:t>
            </w:r>
          </w:p>
        </w:tc>
        <w:tc>
          <w:tcPr/>
          <w:p>
            <w:pPr>
              <w:pStyle w:val="Compact"/>
            </w:pPr>
            <w:r>
              <w:t xml:space="preserve">STAR</w:t>
            </w:r>
          </w:p>
        </w:tc>
      </w:tr>
      <w:tr>
        <w:tc>
          <w:tcPr/>
          <w:p>
            <w:pPr>
              <w:pStyle w:val="Compact"/>
            </w:pPr>
            <w:r>
              <w:t xml:space="preserve">Main use</w:t>
            </w:r>
          </w:p>
        </w:tc>
        <w:tc>
          <w:tcPr/>
          <w:p>
            <w:pPr>
              <w:pStyle w:val="Compact"/>
            </w:pPr>
            <w:r>
              <w:t xml:space="preserve">DNA read alignment</w:t>
            </w:r>
          </w:p>
        </w:tc>
        <w:tc>
          <w:tcPr/>
          <w:p>
            <w:pPr>
              <w:pStyle w:val="Compact"/>
            </w:pPr>
            <w:r>
              <w:t xml:space="preserve">RNA-seq alignment</w:t>
            </w:r>
          </w:p>
        </w:tc>
      </w:tr>
      <w:tr>
        <w:tc>
          <w:tcPr/>
          <w:p>
            <w:pPr>
              <w:pStyle w:val="Compact"/>
            </w:pPr>
            <w:r>
              <w:t xml:space="preserve">Key assumption</w:t>
            </w:r>
          </w:p>
        </w:tc>
        <w:tc>
          <w:tcPr/>
          <w:p>
            <w:pPr>
              <w:pStyle w:val="Compact"/>
            </w:pPr>
            <w:r>
              <w:t xml:space="preserve">DNA is contiguous</w:t>
            </w:r>
          </w:p>
        </w:tc>
        <w:tc>
          <w:tcPr/>
          <w:p>
            <w:pPr>
              <w:pStyle w:val="Compact"/>
            </w:pPr>
            <w:r>
              <w:t xml:space="preserve">RNA reads may span splice junctions</w:t>
            </w:r>
          </w:p>
        </w:tc>
      </w:tr>
      <w:tr>
        <w:tc>
          <w:tcPr/>
          <w:p>
            <w:pPr>
              <w:pStyle w:val="Compact"/>
            </w:pPr>
            <w:r>
              <w:t xml:space="preserve">Handles introns?</w:t>
            </w:r>
          </w:p>
        </w:tc>
        <w:tc>
          <w:tcPr/>
          <w:p>
            <w:pPr>
              <w:pStyle w:val="Compact"/>
            </w:pPr>
            <w:r>
              <w:t xml:space="preserve">No</w:t>
            </w:r>
          </w:p>
        </w:tc>
        <w:tc>
          <w:tcPr/>
          <w:p>
            <w:pPr>
              <w:pStyle w:val="Compact"/>
            </w:pPr>
            <w:r>
              <w:t xml:space="preserve">Yes</w:t>
            </w:r>
          </w:p>
        </w:tc>
      </w:tr>
      <w:tr>
        <w:tc>
          <w:tcPr/>
          <w:p>
            <w:pPr>
              <w:pStyle w:val="Compact"/>
            </w:pPr>
            <w:r>
              <w:t xml:space="preserve">Uses seeds?</w:t>
            </w:r>
          </w:p>
        </w:tc>
        <w:tc>
          <w:tcPr/>
          <w:p>
            <w:pPr>
              <w:pStyle w:val="Compact"/>
            </w:pPr>
            <w:r>
              <w:t xml:space="preserve">Yes</w:t>
            </w:r>
          </w:p>
        </w:tc>
        <w:tc>
          <w:tcPr/>
          <w:p>
            <w:pPr>
              <w:pStyle w:val="Compact"/>
            </w:pPr>
            <w:r>
              <w:t xml:space="preserve">Yes</w:t>
            </w:r>
          </w:p>
        </w:tc>
      </w:tr>
      <w:tr>
        <w:tc>
          <w:tcPr/>
          <w:p>
            <w:pPr>
              <w:pStyle w:val="Compact"/>
            </w:pPr>
            <w:r>
              <w:t xml:space="preserve">Uses penalties?</w:t>
            </w:r>
          </w:p>
        </w:tc>
        <w:tc>
          <w:tcPr/>
          <w:p>
            <w:pPr>
              <w:pStyle w:val="Compact"/>
            </w:pPr>
            <w:r>
              <w:t xml:space="preserve">Yes</w:t>
            </w:r>
          </w:p>
        </w:tc>
        <w:tc>
          <w:tcPr/>
          <w:p>
            <w:pPr>
              <w:pStyle w:val="Compact"/>
            </w:pPr>
            <w:r>
              <w:t xml:space="preserve">Yes</w:t>
            </w:r>
          </w:p>
        </w:tc>
      </w:tr>
      <w:tr>
        <w:tc>
          <w:tcPr/>
          <w:p>
            <w:pPr>
              <w:pStyle w:val="Compact"/>
            </w:pPr>
            <w:r>
              <w:t xml:space="preserve">Index type</w:t>
            </w:r>
          </w:p>
        </w:tc>
        <w:tc>
          <w:tcPr/>
          <w:p>
            <w:pPr>
              <w:pStyle w:val="Compact"/>
            </w:pPr>
            <w:r>
              <w:t xml:space="preserve">FM-index / BWT-based</w:t>
            </w:r>
          </w:p>
        </w:tc>
        <w:tc>
          <w:tcPr/>
          <w:p>
            <w:pPr>
              <w:pStyle w:val="Compact"/>
            </w:pPr>
            <w:r>
              <w:t xml:space="preserve">Suffix-array-like genome index</w:t>
            </w:r>
          </w:p>
        </w:tc>
      </w:tr>
    </w:tbl>
    <w:bookmarkStart w:id="20" w:name="bwa"/>
    <w:p>
      <w:pPr>
        <w:pStyle w:val="Heading3"/>
      </w:pPr>
      <w:r>
        <w:t xml:space="preserve">BWA</w:t>
      </w:r>
    </w:p>
    <w:p>
      <w:pPr>
        <w:pStyle w:val="FirstParagraph"/>
      </w:pPr>
      <w:r>
        <w:t xml:space="preserve">BWA maps reads to a reference genome.</w:t>
      </w:r>
    </w:p>
    <w:p>
      <w:pPr>
        <w:pStyle w:val="BodyText"/>
      </w:pPr>
      <w:r>
        <w:t xml:space="preserve">It asks:</w:t>
      </w:r>
    </w:p>
    <w:p>
      <w:pPr>
        <w:pStyle w:val="BlockText"/>
      </w:pPr>
      <w:r>
        <w:t xml:space="preserve">Where does this DNA fragment best belong in the genome?</w:t>
      </w:r>
    </w:p>
    <w:p>
      <w:pPr>
        <w:pStyle w:val="FirstParagraph"/>
      </w:pPr>
      <w:r>
        <w:t xml:space="preserve">It expects mostly contiguous alignment, allowing mismatches, insertions, deletions, and soft clipping.</w:t>
      </w:r>
    </w:p>
    <w:p>
      <w:pPr>
        <w:pStyle w:val="BodyText"/>
      </w:pPr>
      <w:r>
        <w:t xml:space="preserve">Example:</w:t>
      </w:r>
    </w:p>
    <w:p>
      <w:pPr>
        <w:pStyle w:val="SourceCode"/>
      </w:pPr>
      <w:r>
        <w:rPr>
          <w:rStyle w:val="VerbatimChar"/>
        </w:rPr>
        <w:t xml:space="preserve">Reference: ACTGACTGACTG</w:t>
      </w:r>
      <w:r>
        <w:br/>
      </w:r>
      <w:r>
        <w:rPr>
          <w:rStyle w:val="VerbatimChar"/>
        </w:rPr>
        <w:t xml:space="preserve">Read:      ACTGACTAACTG</w:t>
      </w:r>
    </w:p>
    <w:p>
      <w:pPr>
        <w:pStyle w:val="FirstParagraph"/>
      </w:pPr>
      <w:r>
        <w:t xml:space="preserve">BWA scores this using match rewards and penalties for mismatches/gaps.</w:t>
      </w:r>
    </w:p>
    <w:bookmarkEnd w:id="20"/>
    <w:bookmarkStart w:id="21" w:name="star"/>
    <w:p>
      <w:pPr>
        <w:pStyle w:val="Heading3"/>
      </w:pPr>
      <w:r>
        <w:t xml:space="preserve">STAR</w:t>
      </w:r>
    </w:p>
    <w:p>
      <w:pPr>
        <w:pStyle w:val="FirstParagraph"/>
      </w:pPr>
      <w:r>
        <w:t xml:space="preserve">STAR is splice-aware.</w:t>
      </w:r>
    </w:p>
    <w:p>
      <w:pPr>
        <w:pStyle w:val="BodyText"/>
      </w:pPr>
      <w:r>
        <w:t xml:space="preserve">RNA read:</w:t>
      </w:r>
    </w:p>
    <w:p>
      <w:pPr>
        <w:pStyle w:val="SourceCode"/>
      </w:pPr>
      <w:r>
        <w:rPr>
          <w:rStyle w:val="VerbatimChar"/>
        </w:rPr>
        <w:t xml:space="preserve">Exon1|Exon2</w:t>
      </w:r>
    </w:p>
    <w:p>
      <w:pPr>
        <w:pStyle w:val="FirstParagraph"/>
      </w:pPr>
      <w:r>
        <w:t xml:space="preserve">Genome:</w:t>
      </w:r>
    </w:p>
    <w:p>
      <w:pPr>
        <w:pStyle w:val="SourceCode"/>
      </w:pPr>
      <w:r>
        <w:rPr>
          <w:rStyle w:val="VerbatimChar"/>
        </w:rPr>
        <w:t xml:space="preserve">Exon1 ---- long intron ---- Exon2</w:t>
      </w:r>
    </w:p>
    <w:p>
      <w:pPr>
        <w:pStyle w:val="FirstParagraph"/>
      </w:pPr>
      <w:r>
        <w:t xml:space="preserve">STAR can split the read across the exon-exon junction instead of treating the intron as a giant deletion.</w:t>
      </w:r>
    </w:p>
    <w:bookmarkEnd w:id="21"/>
    <w:bookmarkStart w:id="22" w:name="interview-summary"/>
    <w:p>
      <w:pPr>
        <w:pStyle w:val="Heading3"/>
      </w:pPr>
      <w:r>
        <w:t xml:space="preserve">Interview summary</w:t>
      </w:r>
    </w:p>
    <w:p>
      <w:pPr>
        <w:pStyle w:val="BlockText"/>
      </w:pPr>
      <w:r>
        <w:t xml:space="preserve">BWA is optimized for contiguous DNA read alignment, while STAR is splice-aware and can split RNA-seq reads across exon-exon junctions.</w:t>
      </w:r>
    </w:p>
    <w:p>
      <w:r>
        <w:pict>
          <v:rect style="width:0;height:1.5pt" o:hralign="center" o:hrstd="t" o:hr="t"/>
        </w:pict>
      </w:r>
    </w:p>
    <w:bookmarkEnd w:id="22"/>
    <w:bookmarkEnd w:id="23"/>
    <w:bookmarkStart w:id="24" w:name="does-bwa-use-seeds-and-penalties"/>
    <w:p>
      <w:pPr>
        <w:pStyle w:val="Heading2"/>
      </w:pPr>
      <w:r>
        <w:t xml:space="preserve">2. Does BWA use seeds and penalties?</w:t>
      </w:r>
    </w:p>
    <w:p>
      <w:pPr>
        <w:pStyle w:val="FirstParagraph"/>
      </w:pPr>
      <w:r>
        <w:t xml:space="preserve">Yes.</w:t>
      </w:r>
    </w:p>
    <w:p>
      <w:pPr>
        <w:pStyle w:val="BodyText"/>
      </w:pPr>
      <w:r>
        <w:t xml:space="preserve">BWA uses:</w:t>
      </w:r>
    </w:p>
    <w:p>
      <w:pPr>
        <w:pStyle w:val="Compact"/>
        <w:numPr>
          <w:ilvl w:val="0"/>
          <w:numId w:val="1001"/>
        </w:numPr>
      </w:pPr>
      <w:r>
        <w:rPr>
          <w:b/>
          <w:bCs/>
        </w:rPr>
        <w:t xml:space="preserve">Seeds</w:t>
      </w:r>
      <w:r>
        <w:t xml:space="preserve"> </w:t>
      </w:r>
      <w:r>
        <w:t xml:space="preserve">to find candidate genomic locations quickly.</w:t>
      </w:r>
    </w:p>
    <w:p>
      <w:pPr>
        <w:pStyle w:val="Compact"/>
        <w:numPr>
          <w:ilvl w:val="0"/>
          <w:numId w:val="1001"/>
        </w:numPr>
      </w:pPr>
      <w:r>
        <w:rPr>
          <w:b/>
          <w:bCs/>
        </w:rPr>
        <w:t xml:space="preserve">Extension/alignment scoring</w:t>
      </w:r>
      <w:r>
        <w:t xml:space="preserve"> </w:t>
      </w:r>
      <w:r>
        <w:t xml:space="preserve">to evaluate candidate placements.</w:t>
      </w:r>
    </w:p>
    <w:p>
      <w:pPr>
        <w:pStyle w:val="Compact"/>
        <w:numPr>
          <w:ilvl w:val="0"/>
          <w:numId w:val="1001"/>
        </w:numPr>
      </w:pPr>
      <w:r>
        <w:rPr>
          <w:b/>
          <w:bCs/>
        </w:rPr>
        <w:t xml:space="preserve">Mapping quality</w:t>
      </w:r>
      <w:r>
        <w:t xml:space="preserve"> </w:t>
      </w:r>
      <w:r>
        <w:t xml:space="preserve">to represent confidence in the best placement.</w:t>
      </w:r>
    </w:p>
    <w:p>
      <w:pPr>
        <w:pStyle w:val="FirstParagraph"/>
      </w:pPr>
      <w:r>
        <w:t xml:space="preserve">Example:</w:t>
      </w:r>
    </w:p>
    <w:p>
      <w:pPr>
        <w:pStyle w:val="SourceCode"/>
      </w:pPr>
      <w:r>
        <w:rPr>
          <w:rStyle w:val="VerbatimChar"/>
        </w:rPr>
        <w:t xml:space="preserve">Read: ACTGACTGACTG</w:t>
      </w:r>
      <w:r>
        <w:br/>
      </w:r>
      <w:r>
        <w:rPr>
          <w:rStyle w:val="VerbatimChar"/>
        </w:rPr>
        <w:t xml:space="preserve">Seed: ACTGACT</w:t>
      </w:r>
    </w:p>
    <w:p>
      <w:pPr>
        <w:pStyle w:val="FirstParagraph"/>
      </w:pPr>
      <w:r>
        <w:t xml:space="preserve">If the seed occurs in multiple places, BWA evaluates each candidate.</w:t>
      </w:r>
    </w:p>
    <w:p>
      <w:pPr>
        <w:pStyle w:val="BodyText"/>
      </w:pPr>
      <w:r>
        <w:t xml:space="preserve">Alignment scoring roughly follows:</w:t>
      </w:r>
    </w:p>
    <w:p>
      <w:pPr>
        <w:pStyle w:val="SourceCode"/>
      </w:pPr>
      <w:r>
        <w:rPr>
          <w:rStyle w:val="VerbatimChar"/>
        </w:rPr>
        <w:t xml:space="preserve">score = matches</w:t>
      </w:r>
      <w:r>
        <w:br/>
      </w:r>
      <w:r>
        <w:rPr>
          <w:rStyle w:val="VerbatimChar"/>
        </w:rPr>
        <w:t xml:space="preserve">        - mismatch penalties</w:t>
      </w:r>
      <w:r>
        <w:br/>
      </w:r>
      <w:r>
        <w:rPr>
          <w:rStyle w:val="VerbatimChar"/>
        </w:rPr>
        <w:t xml:space="preserve">        - gap opening penalties</w:t>
      </w:r>
      <w:r>
        <w:br/>
      </w:r>
      <w:r>
        <w:rPr>
          <w:rStyle w:val="VerbatimChar"/>
        </w:rPr>
        <w:t xml:space="preserve">        - gap extension penalties</w:t>
      </w:r>
    </w:p>
    <w:p>
      <w:pPr>
        <w:pStyle w:val="FirstParagraph"/>
      </w:pPr>
      <w:r>
        <w:t xml:space="preserve">If two alignments score similarly, BWA lowers the</w:t>
      </w:r>
      <w:r>
        <w:t xml:space="preserve"> </w:t>
      </w:r>
      <w:r>
        <w:rPr>
          <w:b/>
          <w:bCs/>
        </w:rPr>
        <w:t xml:space="preserve">MAPQ</w:t>
      </w:r>
      <w:r>
        <w:t xml:space="preserve">.</w:t>
      </w:r>
    </w:p>
    <w:p>
      <w:pPr>
        <w:pStyle w:val="BodyText"/>
      </w:pPr>
      <w:r>
        <w:t xml:space="preserve">High MAPQ:</w:t>
      </w:r>
    </w:p>
    <w:p>
      <w:pPr>
        <w:pStyle w:val="SourceCode"/>
      </w:pPr>
      <w:r>
        <w:rPr>
          <w:rStyle w:val="VerbatimChar"/>
        </w:rPr>
        <w:t xml:space="preserve">MAPQ 60</w:t>
      </w:r>
    </w:p>
    <w:p>
      <w:pPr>
        <w:pStyle w:val="FirstParagraph"/>
      </w:pPr>
      <w:r>
        <w:t xml:space="preserve">means confident unique alignment.</w:t>
      </w:r>
    </w:p>
    <w:p>
      <w:pPr>
        <w:pStyle w:val="BodyText"/>
      </w:pPr>
      <w:r>
        <w:t xml:space="preserve">Low MAPQ:</w:t>
      </w:r>
    </w:p>
    <w:p>
      <w:pPr>
        <w:pStyle w:val="SourceCode"/>
      </w:pPr>
      <w:r>
        <w:rPr>
          <w:rStyle w:val="VerbatimChar"/>
        </w:rPr>
        <w:t xml:space="preserve">MAPQ 0–5</w:t>
      </w:r>
    </w:p>
    <w:p>
      <w:pPr>
        <w:pStyle w:val="FirstParagraph"/>
      </w:pPr>
      <w:r>
        <w:t xml:space="preserve">means multiple plausible locations.</w:t>
      </w:r>
    </w:p>
    <w:p>
      <w:r>
        <w:pict>
          <v:rect style="width:0;height:1.5pt" o:hralign="center" o:hrstd="t" o:hr="t"/>
        </w:pict>
      </w:r>
    </w:p>
    <w:bookmarkEnd w:id="24"/>
    <w:bookmarkStart w:id="28" w:name="X226bc14e5709683cdfcdc369230c82c7258bb7d"/>
    <w:p>
      <w:pPr>
        <w:pStyle w:val="Heading2"/>
      </w:pPr>
      <w:r>
        <w:t xml:space="preserve">3. BWA vs suffix array / FM-index vs de Bruijn graph</w:t>
      </w:r>
    </w:p>
    <w:p>
      <w:pPr>
        <w:pStyle w:val="FirstParagraph"/>
      </w:pPr>
      <w:r>
        <w:t xml:space="preserve">These solve different problems.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Used for</w:t>
            </w:r>
          </w:p>
        </w:tc>
        <w:tc>
          <w:tcPr/>
          <w:p>
            <w:pPr>
              <w:pStyle w:val="Compact"/>
            </w:pPr>
            <w:r>
              <w:t xml:space="preserve">Question</w:t>
            </w:r>
          </w:p>
        </w:tc>
      </w:tr>
      <w:tr>
        <w:tc>
          <w:tcPr/>
          <w:p>
            <w:pPr>
              <w:pStyle w:val="Compact"/>
            </w:pPr>
            <w:r>
              <w:t xml:space="preserve">FM-index / suffix-array-like indexing</w:t>
            </w:r>
          </w:p>
        </w:tc>
        <w:tc>
          <w:tcPr/>
          <w:p>
            <w:pPr>
              <w:pStyle w:val="Compact"/>
            </w:pPr>
            <w:r>
              <w:t xml:space="preserve">Alignment</w:t>
            </w:r>
          </w:p>
        </w:tc>
        <w:tc>
          <w:tcPr/>
          <w:p>
            <w:pPr>
              <w:pStyle w:val="Compact"/>
            </w:pPr>
            <w:r>
              <w:t xml:space="preserve">Where does this read map?</w:t>
            </w:r>
          </w:p>
        </w:tc>
      </w:tr>
      <w:tr>
        <w:tc>
          <w:tcPr/>
          <w:p>
            <w:pPr>
              <w:pStyle w:val="Compact"/>
            </w:pPr>
            <w:r>
              <w:t xml:space="preserve">de Bruijn graph</w:t>
            </w:r>
          </w:p>
        </w:tc>
        <w:tc>
          <w:tcPr/>
          <w:p>
            <w:pPr>
              <w:pStyle w:val="Compact"/>
            </w:pPr>
            <w:r>
              <w:t xml:space="preserve">Assembly</w:t>
            </w:r>
          </w:p>
        </w:tc>
        <w:tc>
          <w:tcPr/>
          <w:p>
            <w:pPr>
              <w:pStyle w:val="Compact"/>
            </w:pPr>
            <w:r>
              <w:t xml:space="preserve">What sequence best explains these reads?</w:t>
            </w:r>
          </w:p>
        </w:tc>
      </w:tr>
      <w:tr>
        <w:tc>
          <w:tcPr/>
          <w:p>
            <w:pPr>
              <w:pStyle w:val="Compact"/>
            </w:pPr>
            <w:r>
              <w:t xml:space="preserve">HMM / PairHMM</w:t>
            </w:r>
          </w:p>
        </w:tc>
        <w:tc>
          <w:tcPr/>
          <w:p>
            <w:pPr>
              <w:pStyle w:val="Compact"/>
            </w:pPr>
            <w:r>
              <w:t xml:space="preserve">Probabilistic inference</w:t>
            </w:r>
          </w:p>
        </w:tc>
        <w:tc>
          <w:tcPr/>
          <w:p>
            <w:pPr>
              <w:pStyle w:val="Compact"/>
            </w:pPr>
            <w:r>
              <w:t xml:space="preserve">Which hidden state or haplotype is most likely?</w:t>
            </w:r>
          </w:p>
        </w:tc>
      </w:tr>
    </w:tbl>
    <w:bookmarkStart w:id="25" w:name="bwa-fm-index"/>
    <w:p>
      <w:pPr>
        <w:pStyle w:val="Heading3"/>
      </w:pPr>
      <w:r>
        <w:t xml:space="preserve">BWA / FM-index</w:t>
      </w:r>
    </w:p>
    <w:p>
      <w:pPr>
        <w:pStyle w:val="FirstParagraph"/>
      </w:pPr>
      <w:r>
        <w:t xml:space="preserve">BWA indexes the reference genome so reads can be searched quickly.</w:t>
      </w:r>
    </w:p>
    <w:p>
      <w:pPr>
        <w:pStyle w:val="BodyText"/>
      </w:pPr>
      <w:r>
        <w:t xml:space="preserve">It asks:</w:t>
      </w:r>
    </w:p>
    <w:p>
      <w:pPr>
        <w:pStyle w:val="SourceCode"/>
      </w:pPr>
      <w:r>
        <w:rPr>
          <w:rStyle w:val="VerbatimChar"/>
        </w:rPr>
        <w:t xml:space="preserve">Read → best location in reference</w:t>
      </w:r>
    </w:p>
    <w:p>
      <w:pPr>
        <w:pStyle w:val="FirstParagraph"/>
      </w:pPr>
      <w:r>
        <w:t xml:space="preserve">It assumes the reference is mostly correct.</w:t>
      </w:r>
    </w:p>
    <w:bookmarkEnd w:id="25"/>
    <w:bookmarkStart w:id="26" w:name="de-bruijn-graph"/>
    <w:p>
      <w:pPr>
        <w:pStyle w:val="Heading3"/>
      </w:pPr>
      <w:r>
        <w:t xml:space="preserve">de Bruijn graph</w:t>
      </w:r>
    </w:p>
    <w:p>
      <w:pPr>
        <w:pStyle w:val="FirstParagraph"/>
      </w:pPr>
      <w:r>
        <w:t xml:space="preserve">A de Bruijn graph breaks reads into k-mers and connects overlapping k-mers.</w:t>
      </w:r>
    </w:p>
    <w:p>
      <w:pPr>
        <w:pStyle w:val="BodyText"/>
      </w:pPr>
      <w:r>
        <w:t xml:space="preserve">Example reads:</w:t>
      </w:r>
    </w:p>
    <w:p>
      <w:pPr>
        <w:pStyle w:val="SourceCode"/>
      </w:pPr>
      <w:r>
        <w:rPr>
          <w:rStyle w:val="VerbatimChar"/>
        </w:rPr>
        <w:t xml:space="preserve">ACTGA</w:t>
      </w:r>
      <w:r>
        <w:br/>
      </w:r>
      <w:r>
        <w:rPr>
          <w:rStyle w:val="VerbatimChar"/>
        </w:rPr>
        <w:t xml:space="preserve">CTGAT</w:t>
      </w:r>
      <w:r>
        <w:br/>
      </w:r>
      <w:r>
        <w:rPr>
          <w:rStyle w:val="VerbatimChar"/>
        </w:rPr>
        <w:t xml:space="preserve">TGATC</w:t>
      </w:r>
      <w:r>
        <w:br/>
      </w:r>
      <w:r>
        <w:rPr>
          <w:rStyle w:val="VerbatimChar"/>
        </w:rPr>
        <w:t xml:space="preserve">GATCG</w:t>
      </w:r>
    </w:p>
    <w:p>
      <w:pPr>
        <w:pStyle w:val="FirstParagraph"/>
      </w:pPr>
      <w:r>
        <w:t xml:space="preserve">k-mers:</w:t>
      </w:r>
    </w:p>
    <w:p>
      <w:pPr>
        <w:pStyle w:val="SourceCode"/>
      </w:pPr>
      <w:r>
        <w:rPr>
          <w:rStyle w:val="VerbatimChar"/>
        </w:rPr>
        <w:t xml:space="preserve">ACTG</w:t>
      </w:r>
      <w:r>
        <w:br/>
      </w:r>
      <w:r>
        <w:rPr>
          <w:rStyle w:val="VerbatimChar"/>
        </w:rPr>
        <w:t xml:space="preserve">CTGA</w:t>
      </w:r>
      <w:r>
        <w:br/>
      </w:r>
      <w:r>
        <w:rPr>
          <w:rStyle w:val="VerbatimChar"/>
        </w:rPr>
        <w:t xml:space="preserve">TGAT</w:t>
      </w:r>
      <w:r>
        <w:br/>
      </w:r>
      <w:r>
        <w:rPr>
          <w:rStyle w:val="VerbatimChar"/>
        </w:rPr>
        <w:t xml:space="preserve">GATC</w:t>
      </w:r>
      <w:r>
        <w:br/>
      </w:r>
      <w:r>
        <w:rPr>
          <w:rStyle w:val="VerbatimChar"/>
        </w:rPr>
        <w:t xml:space="preserve">ATCG</w:t>
      </w:r>
    </w:p>
    <w:p>
      <w:pPr>
        <w:pStyle w:val="FirstParagraph"/>
      </w:pPr>
      <w:r>
        <w:t xml:space="preserve">Graph walk reconstructs:</w:t>
      </w:r>
    </w:p>
    <w:p>
      <w:pPr>
        <w:pStyle w:val="SourceCode"/>
      </w:pPr>
      <w:r>
        <w:rPr>
          <w:rStyle w:val="VerbatimChar"/>
        </w:rPr>
        <w:t xml:space="preserve">ACTGATCG</w:t>
      </w:r>
    </w:p>
    <w:p>
      <w:pPr>
        <w:pStyle w:val="FirstParagraph"/>
      </w:pPr>
      <w:r>
        <w:t xml:space="preserve">GATK HaplotypeCaller uses this for</w:t>
      </w:r>
      <w:r>
        <w:t xml:space="preserve"> </w:t>
      </w:r>
      <w:r>
        <w:rPr>
          <w:b/>
          <w:bCs/>
        </w:rPr>
        <w:t xml:space="preserve">local assembly</w:t>
      </w:r>
      <w:r>
        <w:t xml:space="preserve"> </w:t>
      </w:r>
      <w:r>
        <w:t xml:space="preserve">in active regions.</w:t>
      </w:r>
    </w:p>
    <w:bookmarkEnd w:id="26"/>
    <w:bookmarkStart w:id="27" w:name="key-distinction"/>
    <w:p>
      <w:pPr>
        <w:pStyle w:val="Heading3"/>
      </w:pPr>
      <w:r>
        <w:t xml:space="preserve">Key distinction</w:t>
      </w:r>
    </w:p>
    <w:p>
      <w:pPr>
        <w:pStyle w:val="FirstParagraph"/>
      </w:pPr>
      <w:r>
        <w:t xml:space="preserve">BWA maps reads to a reference.</w:t>
      </w:r>
      <w:r>
        <w:br/>
      </w:r>
      <w:r>
        <w:t xml:space="preserve">A de Bruijn graph reconstructs local haplotypes from reads.</w:t>
      </w:r>
    </w:p>
    <w:p>
      <w:r>
        <w:pict>
          <v:rect style="width:0;height:1.5pt" o:hralign="center" o:hrstd="t" o:hr="t"/>
        </w:pict>
      </w:r>
    </w:p>
    <w:bookmarkEnd w:id="27"/>
    <w:bookmarkEnd w:id="28"/>
    <w:bookmarkStart w:id="32" w:name="de-bruijn-graph-vs-hmm"/>
    <w:p>
      <w:pPr>
        <w:pStyle w:val="Heading2"/>
      </w:pPr>
      <w:r>
        <w:t xml:space="preserve">4. de Bruijn graph vs HMM</w:t>
      </w:r>
    </w:p>
    <w:p>
      <w:pPr>
        <w:pStyle w:val="FirstParagraph"/>
      </w:pPr>
      <w:r>
        <w:t xml:space="preserve">A</w:t>
      </w:r>
      <w:r>
        <w:t xml:space="preserve"> </w:t>
      </w:r>
      <w:r>
        <w:rPr>
          <w:b/>
          <w:bCs/>
        </w:rPr>
        <w:t xml:space="preserve">de Bruijn graph</w:t>
      </w:r>
      <w:r>
        <w:t xml:space="preserve"> </w:t>
      </w:r>
      <w:r>
        <w:t xml:space="preserve">reconstructs sequence.</w:t>
      </w:r>
      <w:r>
        <w:br/>
      </w:r>
      <w:r>
        <w:t xml:space="preserve">An</w:t>
      </w:r>
      <w:r>
        <w:t xml:space="preserve"> </w:t>
      </w:r>
      <w:r>
        <w:rPr>
          <w:b/>
          <w:bCs/>
        </w:rPr>
        <w:t xml:space="preserve">HMM</w:t>
      </w:r>
      <w:r>
        <w:t xml:space="preserve"> </w:t>
      </w:r>
      <w:r>
        <w:t xml:space="preserve">infers hidden states from noisy observations.</w:t>
      </w:r>
    </w:p>
    <w:bookmarkStart w:id="29" w:name="de-bruijn-graph-1"/>
    <w:p>
      <w:pPr>
        <w:pStyle w:val="Heading3"/>
      </w:pPr>
      <w:r>
        <w:t xml:space="preserve">de Bruijn graph</w:t>
      </w:r>
    </w:p>
    <w:p>
      <w:pPr>
        <w:pStyle w:val="FirstParagraph"/>
      </w:pPr>
      <w:r>
        <w:t xml:space="preserve">Input:</w:t>
      </w:r>
    </w:p>
    <w:p>
      <w:pPr>
        <w:pStyle w:val="SourceCode"/>
      </w:pPr>
      <w:r>
        <w:rPr>
          <w:rStyle w:val="VerbatimChar"/>
        </w:rPr>
        <w:t xml:space="preserve">DNA reads</w:t>
      </w:r>
    </w:p>
    <w:p>
      <w:pPr>
        <w:pStyle w:val="FirstParagraph"/>
      </w:pPr>
      <w:r>
        <w:t xml:space="preserve">Output:</w:t>
      </w:r>
    </w:p>
    <w:p>
      <w:pPr>
        <w:pStyle w:val="SourceCode"/>
      </w:pPr>
      <w:r>
        <w:rPr>
          <w:rStyle w:val="VerbatimChar"/>
        </w:rPr>
        <w:t xml:space="preserve">candidate sequence / haplotype</w:t>
      </w:r>
    </w:p>
    <w:p>
      <w:pPr>
        <w:pStyle w:val="FirstParagraph"/>
      </w:pPr>
      <w:r>
        <w:t xml:space="preserve">Question:</w:t>
      </w:r>
    </w:p>
    <w:p>
      <w:pPr>
        <w:pStyle w:val="BlockText"/>
      </w:pPr>
      <w:r>
        <w:t xml:space="preserve">What sequence explains these overlapping reads?</w:t>
      </w:r>
    </w:p>
    <w:bookmarkEnd w:id="29"/>
    <w:bookmarkStart w:id="30" w:name="hmm"/>
    <w:p>
      <w:pPr>
        <w:pStyle w:val="Heading3"/>
      </w:pPr>
      <w:r>
        <w:t xml:space="preserve">HMM</w:t>
      </w:r>
    </w:p>
    <w:p>
      <w:pPr>
        <w:pStyle w:val="FirstParagraph"/>
      </w:pPr>
      <w:r>
        <w:t xml:space="preserve">Input:</w:t>
      </w:r>
    </w:p>
    <w:p>
      <w:pPr>
        <w:pStyle w:val="SourceCode"/>
      </w:pPr>
      <w:r>
        <w:rPr>
          <w:rStyle w:val="VerbatimChar"/>
        </w:rPr>
        <w:t xml:space="preserve">observed noisy data</w:t>
      </w:r>
    </w:p>
    <w:p>
      <w:pPr>
        <w:pStyle w:val="FirstParagraph"/>
      </w:pPr>
      <w:r>
        <w:t xml:space="preserve">Output:</w:t>
      </w:r>
    </w:p>
    <w:p>
      <w:pPr>
        <w:pStyle w:val="SourceCode"/>
      </w:pPr>
      <w:r>
        <w:rPr>
          <w:rStyle w:val="VerbatimChar"/>
        </w:rPr>
        <w:t xml:space="preserve">hidden state</w:t>
      </w:r>
    </w:p>
    <w:p>
      <w:pPr>
        <w:pStyle w:val="FirstParagraph"/>
      </w:pPr>
      <w:r>
        <w:t xml:space="preserve">Example:</w:t>
      </w:r>
    </w:p>
    <w:p>
      <w:pPr>
        <w:pStyle w:val="BodyText"/>
      </w:pPr>
      <w:r>
        <w:t xml:space="preserve">Observed depth:</w:t>
      </w:r>
    </w:p>
    <w:p>
      <w:pPr>
        <w:pStyle w:val="SourceCode"/>
      </w:pPr>
      <w:r>
        <w:rPr>
          <w:rStyle w:val="VerbatimChar"/>
        </w:rPr>
        <w:t xml:space="preserve">40x, 39x, 18x, 17x, 16x, 38x</w:t>
      </w:r>
    </w:p>
    <w:p>
      <w:pPr>
        <w:pStyle w:val="FirstParagraph"/>
      </w:pPr>
      <w:r>
        <w:t xml:space="preserve">Hidden copy-number state:</w:t>
      </w:r>
    </w:p>
    <w:p>
      <w:pPr>
        <w:pStyle w:val="SourceCode"/>
      </w:pPr>
      <w:r>
        <w:rPr>
          <w:rStyle w:val="VerbatimChar"/>
        </w:rPr>
        <w:t xml:space="preserve">normal, normal, deletion, deletion, deletion, normal</w:t>
      </w:r>
    </w:p>
    <w:bookmarkEnd w:id="30"/>
    <w:bookmarkStart w:id="31" w:name="in-gatk"/>
    <w:p>
      <w:pPr>
        <w:pStyle w:val="Heading3"/>
      </w:pPr>
      <w:r>
        <w:t xml:space="preserve">In GATK</w:t>
      </w:r>
    </w:p>
    <w:p>
      <w:pPr>
        <w:pStyle w:val="FirstParagraph"/>
      </w:pPr>
      <w:r>
        <w:t xml:space="preserve">GATK uses both:</w:t>
      </w:r>
    </w:p>
    <w:p>
      <w:pPr>
        <w:pStyle w:val="Compact"/>
        <w:numPr>
          <w:ilvl w:val="0"/>
          <w:numId w:val="1002"/>
        </w:numPr>
      </w:pPr>
      <w:r>
        <w:rPr>
          <w:b/>
          <w:bCs/>
        </w:rPr>
        <w:t xml:space="preserve">de Bruijn graph</w:t>
      </w:r>
      <w:r>
        <w:t xml:space="preserve"> </w:t>
      </w:r>
      <w:r>
        <w:t xml:space="preserve">to generate candidate haplotypes.</w:t>
      </w:r>
    </w:p>
    <w:p>
      <w:pPr>
        <w:pStyle w:val="Compact"/>
        <w:numPr>
          <w:ilvl w:val="0"/>
          <w:numId w:val="1002"/>
        </w:numPr>
      </w:pPr>
      <w:r>
        <w:rPr>
          <w:b/>
          <w:bCs/>
        </w:rPr>
        <w:t xml:space="preserve">PairHMM</w:t>
      </w:r>
      <w:r>
        <w:t xml:space="preserve"> </w:t>
      </w:r>
      <w:r>
        <w:t xml:space="preserve">to score how well each read matches each haplotype.</w:t>
      </w:r>
    </w:p>
    <w:p>
      <w:pPr>
        <w:pStyle w:val="FirstParagraph"/>
      </w:pPr>
      <w:r>
        <w:t xml:space="preserve">Interview answer:</w:t>
      </w:r>
    </w:p>
    <w:p>
      <w:pPr>
        <w:pStyle w:val="BlockText"/>
      </w:pPr>
      <w:r>
        <w:t xml:space="preserve">GATK uses de Bruijn graphs for local assembly and PairHMM to compute read-to-haplotype likelihoods.</w:t>
      </w:r>
    </w:p>
    <w:p>
      <w:r>
        <w:pict>
          <v:rect style="width:0;height:1.5pt" o:hralign="center" o:hrstd="t" o:hr="t"/>
        </w:pict>
      </w:r>
    </w:p>
    <w:bookmarkEnd w:id="31"/>
    <w:bookmarkEnd w:id="32"/>
    <w:bookmarkStart w:id="37" w:name="bwa-vs-muscle-vs-global-alignment"/>
    <w:p>
      <w:pPr>
        <w:pStyle w:val="Heading2"/>
      </w:pPr>
      <w:r>
        <w:t xml:space="preserve">5. BWA vs MUSCLE vs global alignment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 / method</w:t>
            </w:r>
          </w:p>
        </w:tc>
        <w:tc>
          <w:tcPr/>
          <w:p>
            <w:pPr>
              <w:pStyle w:val="Compact"/>
            </w:pPr>
            <w:r>
              <w:t xml:space="preserve">Purpose</w:t>
            </w:r>
          </w:p>
        </w:tc>
      </w:tr>
      <w:tr>
        <w:tc>
          <w:tcPr/>
          <w:p>
            <w:pPr>
              <w:pStyle w:val="Compact"/>
            </w:pPr>
            <w:r>
              <w:t xml:space="preserve">BWA</w:t>
            </w:r>
          </w:p>
        </w:tc>
        <w:tc>
          <w:tcPr/>
          <w:p>
            <w:pPr>
              <w:pStyle w:val="Compact"/>
            </w:pPr>
            <w:r>
              <w:t xml:space="preserve">Map sequencing reads to a reference genome</w:t>
            </w:r>
          </w:p>
        </w:tc>
      </w:tr>
      <w:tr>
        <w:tc>
          <w:tcPr/>
          <w:p>
            <w:pPr>
              <w:pStyle w:val="Compact"/>
            </w:pPr>
            <w:r>
              <w:t xml:space="preserve">MUSCLE</w:t>
            </w:r>
          </w:p>
        </w:tc>
        <w:tc>
          <w:tcPr/>
          <w:p>
            <w:pPr>
              <w:pStyle w:val="Compact"/>
            </w:pPr>
            <w:r>
              <w:t xml:space="preserve">Multiple sequence alignment of homologous sequences</w:t>
            </w:r>
          </w:p>
        </w:tc>
      </w:tr>
      <w:tr>
        <w:tc>
          <w:tcPr/>
          <w:p>
            <w:pPr>
              <w:pStyle w:val="Compact"/>
            </w:pPr>
            <w:r>
              <w:t xml:space="preserve">Needleman-Wunsch</w:t>
            </w:r>
          </w:p>
        </w:tc>
        <w:tc>
          <w:tcPr/>
          <w:p>
            <w:pPr>
              <w:pStyle w:val="Compact"/>
            </w:pPr>
            <w:r>
              <w:t xml:space="preserve">Global pairwise alignment</w:t>
            </w:r>
          </w:p>
        </w:tc>
      </w:tr>
      <w:tr>
        <w:tc>
          <w:tcPr/>
          <w:p>
            <w:pPr>
              <w:pStyle w:val="Compact"/>
            </w:pPr>
            <w:r>
              <w:t xml:space="preserve">Smith-Waterman</w:t>
            </w:r>
          </w:p>
        </w:tc>
        <w:tc>
          <w:tcPr/>
          <w:p>
            <w:pPr>
              <w:pStyle w:val="Compact"/>
            </w:pPr>
            <w:r>
              <w:t xml:space="preserve">Local pairwise alignment</w:t>
            </w:r>
          </w:p>
        </w:tc>
      </w:tr>
    </w:tbl>
    <w:bookmarkStart w:id="33" w:name="bwa-1"/>
    <w:p>
      <w:pPr>
        <w:pStyle w:val="Heading3"/>
      </w:pPr>
      <w:r>
        <w:t xml:space="preserve">BWA</w:t>
      </w:r>
    </w:p>
    <w:p>
      <w:pPr>
        <w:pStyle w:val="FirstParagraph"/>
      </w:pPr>
      <w:r>
        <w:t xml:space="preserve">BWA maps millions of short reads independently to a reference.</w:t>
      </w:r>
    </w:p>
    <w:p>
      <w:pPr>
        <w:pStyle w:val="BodyText"/>
      </w:pPr>
      <w:r>
        <w:t xml:space="preserve">It uses:</w:t>
      </w:r>
    </w:p>
    <w:p>
      <w:pPr>
        <w:pStyle w:val="SourceCode"/>
      </w:pPr>
      <w:r>
        <w:rPr>
          <w:rStyle w:val="VerbatimChar"/>
        </w:rPr>
        <w:t xml:space="preserve">index → seed → candidate locations → local extension</w:t>
      </w:r>
    </w:p>
    <w:bookmarkEnd w:id="33"/>
    <w:bookmarkStart w:id="34" w:name="muscle"/>
    <w:p>
      <w:pPr>
        <w:pStyle w:val="Heading3"/>
      </w:pPr>
      <w:r>
        <w:t xml:space="preserve">MUSCLE</w:t>
      </w:r>
    </w:p>
    <w:p>
      <w:pPr>
        <w:pStyle w:val="FirstParagraph"/>
      </w:pPr>
      <w:r>
        <w:t xml:space="preserve">MUSCLE aligns multiple homologous sequences to each other.</w:t>
      </w:r>
    </w:p>
    <w:p>
      <w:pPr>
        <w:pStyle w:val="BodyText"/>
      </w:pPr>
      <w:r>
        <w:t xml:space="preserve">Example:</w:t>
      </w:r>
    </w:p>
    <w:p>
      <w:pPr>
        <w:pStyle w:val="SourceCode"/>
      </w:pPr>
      <w:r>
        <w:rPr>
          <w:rStyle w:val="VerbatimChar"/>
        </w:rPr>
        <w:t xml:space="preserve">Human: ACTGACTG</w:t>
      </w:r>
      <w:r>
        <w:br/>
      </w:r>
      <w:r>
        <w:rPr>
          <w:rStyle w:val="VerbatimChar"/>
        </w:rPr>
        <w:t xml:space="preserve">Mouse: ACTGACTA</w:t>
      </w:r>
      <w:r>
        <w:br/>
      </w:r>
      <w:r>
        <w:rPr>
          <w:rStyle w:val="VerbatimChar"/>
        </w:rPr>
        <w:t xml:space="preserve">Dog:   ACTGACCG</w:t>
      </w:r>
    </w:p>
    <w:p>
      <w:pPr>
        <w:pStyle w:val="FirstParagraph"/>
      </w:pPr>
      <w:r>
        <w:t xml:space="preserve">Goal: infer conservation/evolutionary relationships.</w:t>
      </w:r>
    </w:p>
    <w:bookmarkEnd w:id="34"/>
    <w:bookmarkStart w:id="35" w:name="global-alignment"/>
    <w:p>
      <w:pPr>
        <w:pStyle w:val="Heading3"/>
      </w:pPr>
      <w:r>
        <w:t xml:space="preserve">Global alignment</w:t>
      </w:r>
    </w:p>
    <w:p>
      <w:pPr>
        <w:pStyle w:val="FirstParagraph"/>
      </w:pPr>
      <w:r>
        <w:t xml:space="preserve">Global alignment forces entire sequences to align end-to-end.</w:t>
      </w:r>
    </w:p>
    <w:p>
      <w:pPr>
        <w:pStyle w:val="BodyText"/>
      </w:pPr>
      <w:r>
        <w:t xml:space="preserve">Example:</w:t>
      </w:r>
    </w:p>
    <w:p>
      <w:pPr>
        <w:pStyle w:val="SourceCode"/>
      </w:pPr>
      <w:r>
        <w:rPr>
          <w:rStyle w:val="VerbatimChar"/>
        </w:rPr>
        <w:t xml:space="preserve">ACTGACTG----</w:t>
      </w:r>
      <w:r>
        <w:br/>
      </w:r>
      <w:r>
        <w:rPr>
          <w:rStyle w:val="VerbatimChar"/>
        </w:rPr>
        <w:t xml:space="preserve">ACTGACTGACTG</w:t>
      </w:r>
    </w:p>
    <w:bookmarkEnd w:id="35"/>
    <w:bookmarkStart w:id="36" w:name="Xfb6832f8a3a5e875ff5be36bca329f26eb0e303"/>
    <w:p>
      <w:pPr>
        <w:pStyle w:val="Heading3"/>
      </w:pPr>
      <w:r>
        <w:t xml:space="preserve">BWA is</w:t>
      </w:r>
      <w:r>
        <w:t xml:space="preserve"> </w:t>
      </w:r>
      <w:r>
        <w:t xml:space="preserve">“local”</w:t>
      </w:r>
      <w:r>
        <w:t xml:space="preserve"> </w:t>
      </w:r>
      <w:r>
        <w:t xml:space="preserve">in a practical read-mapping sense</w:t>
      </w:r>
    </w:p>
    <w:p>
      <w:pPr>
        <w:pStyle w:val="FirstParagraph"/>
      </w:pPr>
      <w:r>
        <w:t xml:space="preserve">It does not align the read against the entire genome by dynamic programming. It finds candidate locations using the index, then performs local alignment around those candidates.</w:t>
      </w:r>
    </w:p>
    <w:p>
      <w:pPr>
        <w:pStyle w:val="BodyText"/>
      </w:pPr>
      <w:r>
        <w:t xml:space="preserve">Interview answer:</w:t>
      </w:r>
    </w:p>
    <w:p>
      <w:pPr>
        <w:pStyle w:val="BlockText"/>
      </w:pPr>
      <w:r>
        <w:t xml:space="preserve">BWA is a seed-and-extend read mapper. It is not a multiple sequence aligner like MUSCLE and not a pure global aligner. It maps each read independently to a reference using indexed search plus local extension.</w:t>
      </w:r>
    </w:p>
    <w:p>
      <w:r>
        <w:pict>
          <v:rect style="width:0;height:1.5pt" o:hralign="center" o:hrstd="t" o:hr="t"/>
        </w:pict>
      </w:r>
    </w:p>
    <w:bookmarkEnd w:id="36"/>
    <w:bookmarkEnd w:id="37"/>
    <w:bookmarkStart w:id="38" w:name="how-bwa-handles-competing-alignments"/>
    <w:p>
      <w:pPr>
        <w:pStyle w:val="Heading2"/>
      </w:pPr>
      <w:r>
        <w:t xml:space="preserve">6. How BWA handles competing alignments</w:t>
      </w:r>
    </w:p>
    <w:p>
      <w:pPr>
        <w:pStyle w:val="FirstParagraph"/>
      </w:pPr>
      <w:r>
        <w:t xml:space="preserve">BWA may find several candidate locations.</w:t>
      </w:r>
    </w:p>
    <w:p>
      <w:pPr>
        <w:pStyle w:val="BodyText"/>
      </w:pPr>
      <w:r>
        <w:t xml:space="preserve">Example:</w:t>
      </w:r>
    </w:p>
    <w:p>
      <w:pPr>
        <w:pStyle w:val="SourceCode"/>
      </w:pPr>
      <w:r>
        <w:rPr>
          <w:rStyle w:val="VerbatimChar"/>
        </w:rPr>
        <w:t xml:space="preserve">Chr1 score = 120</w:t>
      </w:r>
      <w:r>
        <w:br/>
      </w:r>
      <w:r>
        <w:rPr>
          <w:rStyle w:val="VerbatimChar"/>
        </w:rPr>
        <w:t xml:space="preserve">Chr7 score = 118</w:t>
      </w:r>
      <w:r>
        <w:br/>
      </w:r>
      <w:r>
        <w:rPr>
          <w:rStyle w:val="VerbatimChar"/>
        </w:rPr>
        <w:t xml:space="preserve">Chr12 score = 95</w:t>
      </w:r>
    </w:p>
    <w:p>
      <w:pPr>
        <w:pStyle w:val="FirstParagraph"/>
      </w:pPr>
      <w:r>
        <w:t xml:space="preserve">It reports the best alignment but uses the score difference to estimate confidence.</w:t>
      </w:r>
    </w:p>
    <w:p>
      <w:pPr>
        <w:pStyle w:val="BodyText"/>
      </w:pPr>
      <w:r>
        <w:t xml:space="preserve">If best and second-best are close:</w:t>
      </w:r>
    </w:p>
    <w:p>
      <w:pPr>
        <w:pStyle w:val="SourceCode"/>
      </w:pPr>
      <w:r>
        <w:rPr>
          <w:rStyle w:val="VerbatimChar"/>
        </w:rPr>
        <w:t xml:space="preserve">MAPQ low</w:t>
      </w:r>
    </w:p>
    <w:p>
      <w:pPr>
        <w:pStyle w:val="FirstParagraph"/>
      </w:pPr>
      <w:r>
        <w:t xml:space="preserve">If best is clearly better:</w:t>
      </w:r>
    </w:p>
    <w:p>
      <w:pPr>
        <w:pStyle w:val="SourceCode"/>
      </w:pPr>
      <w:r>
        <w:rPr>
          <w:rStyle w:val="VerbatimChar"/>
        </w:rPr>
        <w:t xml:space="preserve">MAPQ high</w:t>
      </w:r>
    </w:p>
    <w:p>
      <w:pPr>
        <w:pStyle w:val="FirstParagraph"/>
      </w:pPr>
      <w:r>
        <w:t xml:space="preserve">MAPQ is not the same as alignment score.</w:t>
      </w:r>
    </w:p>
    <w:p>
      <w:pPr>
        <w:pStyle w:val="Compact"/>
        <w:numPr>
          <w:ilvl w:val="0"/>
          <w:numId w:val="1003"/>
        </w:numPr>
      </w:pPr>
      <w:r>
        <w:t xml:space="preserve">Alignment score: how well the read matches this location.</w:t>
      </w:r>
    </w:p>
    <w:p>
      <w:pPr>
        <w:pStyle w:val="Compact"/>
        <w:numPr>
          <w:ilvl w:val="0"/>
          <w:numId w:val="1003"/>
        </w:numPr>
      </w:pPr>
      <w:r>
        <w:t xml:space="preserve">MAPQ: confidence this location is the correct one.</w:t>
      </w:r>
    </w:p>
    <w:p>
      <w:r>
        <w:pict>
          <v:rect style="width:0;height:1.5pt" o:hralign="center" o:hrstd="t" o:hr="t"/>
        </w:pict>
      </w:r>
    </w:p>
    <w:bookmarkEnd w:id="38"/>
    <w:bookmarkStart w:id="41" w:name="soft-clipping"/>
    <w:p>
      <w:pPr>
        <w:pStyle w:val="Heading2"/>
      </w:pPr>
      <w:r>
        <w:t xml:space="preserve">7. Soft clipping</w:t>
      </w:r>
    </w:p>
    <w:p>
      <w:pPr>
        <w:pStyle w:val="FirstParagraph"/>
      </w:pPr>
      <w:r>
        <w:t xml:space="preserve">Soft clipping means part of the read is not aligned, but remains stored in the BAM.</w:t>
      </w:r>
    </w:p>
    <w:p>
      <w:pPr>
        <w:pStyle w:val="BodyText"/>
      </w:pPr>
      <w:r>
        <w:t xml:space="preserve">Example:</w:t>
      </w:r>
    </w:p>
    <w:p>
      <w:pPr>
        <w:pStyle w:val="SourceCode"/>
      </w:pPr>
      <w:r>
        <w:rPr>
          <w:rStyle w:val="VerbatimChar"/>
        </w:rPr>
        <w:t xml:space="preserve">Read:      TTTTT ACTGACTGACTG</w:t>
      </w:r>
      <w:r>
        <w:br/>
      </w:r>
      <w:r>
        <w:rPr>
          <w:rStyle w:val="VerbatimChar"/>
        </w:rPr>
        <w:t xml:space="preserve">Reference:       ACTGACTGACTG</w:t>
      </w:r>
    </w:p>
    <w:p>
      <w:pPr>
        <w:pStyle w:val="FirstParagraph"/>
      </w:pPr>
      <w:r>
        <w:t xml:space="preserve">BWA may align only the matching part:</w:t>
      </w:r>
    </w:p>
    <w:p>
      <w:pPr>
        <w:pStyle w:val="SourceCode"/>
      </w:pPr>
      <w:r>
        <w:rPr>
          <w:rStyle w:val="VerbatimChar"/>
        </w:rPr>
        <w:t xml:space="preserve">5S12M</w:t>
      </w:r>
    </w:p>
    <w:p>
      <w:pPr>
        <w:pStyle w:val="FirstParagraph"/>
      </w:pPr>
      <w:r>
        <w:t xml:space="preserve">Meaning:</w:t>
      </w:r>
    </w:p>
    <w:p>
      <w:pPr>
        <w:pStyle w:val="SourceCode"/>
      </w:pPr>
      <w:r>
        <w:rPr>
          <w:rStyle w:val="VerbatimChar"/>
        </w:rPr>
        <w:t xml:space="preserve">5 bases soft-clipped</w:t>
      </w:r>
      <w:r>
        <w:br/>
      </w:r>
      <w:r>
        <w:rPr>
          <w:rStyle w:val="VerbatimChar"/>
        </w:rPr>
        <w:t xml:space="preserve">12 bases matched/aligned</w:t>
      </w:r>
    </w:p>
    <w:p>
      <w:pPr>
        <w:pStyle w:val="FirstParagraph"/>
      </w:pPr>
      <w:r>
        <w:t xml:space="preserve">Soft-clipped bases are retained in the BAM.</w:t>
      </w:r>
    </w:p>
    <w:p>
      <w:pPr>
        <w:pStyle w:val="BodyText"/>
      </w:pPr>
      <w:r>
        <w:t xml:space="preserve">Hard clipping:</w:t>
      </w:r>
    </w:p>
    <w:p>
      <w:pPr>
        <w:pStyle w:val="SourceCode"/>
      </w:pPr>
      <w:r>
        <w:rPr>
          <w:rStyle w:val="VerbatimChar"/>
        </w:rPr>
        <w:t xml:space="preserve">5H12M</w:t>
      </w:r>
    </w:p>
    <w:p>
      <w:pPr>
        <w:pStyle w:val="FirstParagraph"/>
      </w:pPr>
      <w:r>
        <w:t xml:space="preserve">means clipped bases are removed from the stored read sequence.</w:t>
      </w:r>
    </w:p>
    <w:bookmarkStart w:id="39" w:name="why-soft-clipping-happens"/>
    <w:p>
      <w:pPr>
        <w:pStyle w:val="Heading3"/>
      </w:pPr>
      <w:r>
        <w:t xml:space="preserve">Why soft clipping happens</w:t>
      </w:r>
    </w:p>
    <w:p>
      <w:pPr>
        <w:pStyle w:val="FirstParagraph"/>
      </w:pPr>
      <w:r>
        <w:t xml:space="preserve">BWA soft-clips when forcing bases into the alignment would reduce the score.</w:t>
      </w:r>
    </w:p>
    <w:p>
      <w:pPr>
        <w:pStyle w:val="BodyText"/>
      </w:pPr>
      <w:r>
        <w:t xml:space="preserve">Causes include:</w:t>
      </w:r>
    </w:p>
    <w:p>
      <w:pPr>
        <w:pStyle w:val="Compact"/>
        <w:numPr>
          <w:ilvl w:val="0"/>
          <w:numId w:val="1004"/>
        </w:numPr>
      </w:pPr>
      <w:r>
        <w:t xml:space="preserve">adapter contamination</w:t>
      </w:r>
    </w:p>
    <w:p>
      <w:pPr>
        <w:pStyle w:val="Compact"/>
        <w:numPr>
          <w:ilvl w:val="0"/>
          <w:numId w:val="1004"/>
        </w:numPr>
      </w:pPr>
      <w:r>
        <w:t xml:space="preserve">low-quality read ends</w:t>
      </w:r>
    </w:p>
    <w:p>
      <w:pPr>
        <w:pStyle w:val="Compact"/>
        <w:numPr>
          <w:ilvl w:val="0"/>
          <w:numId w:val="1004"/>
        </w:numPr>
      </w:pPr>
      <w:r>
        <w:t xml:space="preserve">indels</w:t>
      </w:r>
    </w:p>
    <w:p>
      <w:pPr>
        <w:pStyle w:val="Compact"/>
        <w:numPr>
          <w:ilvl w:val="0"/>
          <w:numId w:val="1004"/>
        </w:numPr>
      </w:pPr>
      <w:r>
        <w:t xml:space="preserve">structural variant breakpoints</w:t>
      </w:r>
    </w:p>
    <w:p>
      <w:pPr>
        <w:pStyle w:val="Compact"/>
        <w:numPr>
          <w:ilvl w:val="0"/>
          <w:numId w:val="1004"/>
        </w:numPr>
      </w:pPr>
      <w:r>
        <w:t xml:space="preserve">chimeric fragments</w:t>
      </w:r>
    </w:p>
    <w:p>
      <w:pPr>
        <w:pStyle w:val="Compact"/>
        <w:numPr>
          <w:ilvl w:val="0"/>
          <w:numId w:val="1004"/>
        </w:numPr>
      </w:pPr>
      <w:r>
        <w:t xml:space="preserve">alignment ambiguity</w:t>
      </w:r>
    </w:p>
    <w:bookmarkEnd w:id="39"/>
    <w:bookmarkStart w:id="40" w:name="why-it-matters"/>
    <w:p>
      <w:pPr>
        <w:pStyle w:val="Heading3"/>
      </w:pPr>
      <w:r>
        <w:t xml:space="preserve">Why it matters</w:t>
      </w:r>
    </w:p>
    <w:p>
      <w:pPr>
        <w:pStyle w:val="FirstParagraph"/>
      </w:pPr>
      <w:r>
        <w:t xml:space="preserve">Consistent soft clipping at the same locus can indicate a real breakpoint or local sequence difference.</w:t>
      </w:r>
    </w:p>
    <w:p>
      <w:r>
        <w:pict>
          <v:rect style="width:0;height:1.5pt" o:hralign="center" o:hrstd="t" o:hr="t"/>
        </w:pict>
      </w:r>
    </w:p>
    <w:bookmarkEnd w:id="40"/>
    <w:bookmarkEnd w:id="41"/>
    <w:bookmarkStart w:id="43" w:name="forwardreverse-strand-vs-read-1read-2"/>
    <w:p>
      <w:pPr>
        <w:pStyle w:val="Heading2"/>
      </w:pPr>
      <w:r>
        <w:t xml:space="preserve">8. Forward/reverse strand vs Read 1/Read 2</w:t>
      </w:r>
    </w:p>
    <w:p>
      <w:pPr>
        <w:pStyle w:val="FirstParagraph"/>
      </w:pPr>
      <w:r>
        <w:t xml:space="preserve">These are different.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Meaning</w:t>
            </w:r>
          </w:p>
        </w:tc>
      </w:tr>
      <w:tr>
        <w:tc>
          <w:tcPr/>
          <w:p>
            <w:pPr>
              <w:pStyle w:val="Compact"/>
            </w:pPr>
            <w:r>
              <w:t xml:space="preserve">Read 1 / Read 2</w:t>
            </w:r>
          </w:p>
        </w:tc>
        <w:tc>
          <w:tcPr/>
          <w:p>
            <w:pPr>
              <w:pStyle w:val="Compact"/>
            </w:pPr>
            <w:r>
              <w:t xml:space="preserve">Which end of the DNA fragment was sequenced</w:t>
            </w:r>
          </w:p>
        </w:tc>
      </w:tr>
      <w:tr>
        <w:tc>
          <w:tcPr/>
          <w:p>
            <w:pPr>
              <w:pStyle w:val="Compact"/>
            </w:pPr>
            <w:r>
              <w:t xml:space="preserve">Forward / reverse</w:t>
            </w:r>
          </w:p>
        </w:tc>
        <w:tc>
          <w:tcPr/>
          <w:p>
            <w:pPr>
              <w:pStyle w:val="Compact"/>
            </w:pPr>
            <w:r>
              <w:t xml:space="preserve">Which strand of the reference genome the read aligns to</w:t>
            </w:r>
          </w:p>
        </w:tc>
      </w:tr>
    </w:tbl>
    <w:p>
      <w:pPr>
        <w:pStyle w:val="BodyText"/>
      </w:pPr>
      <w:r>
        <w:t xml:space="preserve">A read has both properties.</w:t>
      </w:r>
    </w:p>
    <w:p>
      <w:pPr>
        <w:pStyle w:val="BodyText"/>
      </w:pPr>
      <w:r>
        <w:t xml:space="preserve">Example normal paired-end fragment:</w:t>
      </w:r>
    </w:p>
    <w:p>
      <w:pPr>
        <w:pStyle w:val="SourceCode"/>
      </w:pPr>
      <w:r>
        <w:rPr>
          <w:rStyle w:val="VerbatimChar"/>
        </w:rPr>
        <w:t xml:space="preserve">Reference:</w:t>
      </w:r>
      <w:r>
        <w:br/>
      </w:r>
      <w:r>
        <w:rPr>
          <w:rStyle w:val="VerbatimChar"/>
        </w:rPr>
        <w:t xml:space="preserve">5' ---------------------------- 3'</w:t>
      </w:r>
      <w:r>
        <w:br/>
      </w:r>
      <w:r>
        <w:br/>
      </w:r>
      <w:r>
        <w:rPr>
          <w:rStyle w:val="VerbatimChar"/>
        </w:rPr>
        <w:t xml:space="preserve">Typical pair:</w:t>
      </w:r>
      <w:r>
        <w:br/>
      </w:r>
      <w:r>
        <w:rPr>
          <w:rStyle w:val="VerbatimChar"/>
        </w:rPr>
        <w:t xml:space="preserve">R1 --------&gt;</w:t>
      </w:r>
      <w:r>
        <w:br/>
      </w:r>
      <w:r>
        <w:rPr>
          <w:rStyle w:val="VerbatimChar"/>
        </w:rPr>
        <w:t xml:space="preserve">             &lt;-------- R2</w:t>
      </w:r>
    </w:p>
    <w:p>
      <w:pPr>
        <w:pStyle w:val="FirstParagraph"/>
      </w:pPr>
      <w:r>
        <w:t xml:space="preserve">This is often FR orientation.</w:t>
      </w:r>
    </w:p>
    <w:p>
      <w:pPr>
        <w:pStyle w:val="BodyText"/>
      </w:pPr>
      <w:r>
        <w:t xml:space="preserve">But the opposite can also be normal depending on which genomic strand the fragment originated from:</w:t>
      </w:r>
    </w:p>
    <w:p>
      <w:pPr>
        <w:pStyle w:val="SourceCode"/>
      </w:pPr>
      <w:r>
        <w:rPr>
          <w:rStyle w:val="VerbatimChar"/>
        </w:rPr>
        <w:t xml:space="preserve">R1 &lt;--------</w:t>
      </w:r>
      <w:r>
        <w:br/>
      </w:r>
      <w:r>
        <w:rPr>
          <w:rStyle w:val="VerbatimChar"/>
        </w:rPr>
        <w:t xml:space="preserve">             --------&gt; R2</w:t>
      </w:r>
    </w:p>
    <w:bookmarkStart w:id="42" w:name="important-point"/>
    <w:p>
      <w:pPr>
        <w:pStyle w:val="Heading3"/>
      </w:pPr>
      <w:r>
        <w:t xml:space="preserve">Important point</w:t>
      </w:r>
    </w:p>
    <w:p>
      <w:pPr>
        <w:pStyle w:val="FirstParagraph"/>
      </w:pPr>
      <w:r>
        <w:t xml:space="preserve">Forward/reverse does</w:t>
      </w:r>
      <w:r>
        <w:t xml:space="preserve"> </w:t>
      </w:r>
      <w:r>
        <w:rPr>
          <w:b/>
          <w:bCs/>
        </w:rPr>
        <w:t xml:space="preserve">not</w:t>
      </w:r>
      <w:r>
        <w:t xml:space="preserve"> </w:t>
      </w:r>
      <w:r>
        <w:t xml:space="preserve">mean polymerase synthesized backward.</w:t>
      </w:r>
    </w:p>
    <w:p>
      <w:pPr>
        <w:pStyle w:val="BodyText"/>
      </w:pPr>
      <w:r>
        <w:t xml:space="preserve">Polymerase always synthesizes 5′ to 3′.</w:t>
      </w:r>
    </w:p>
    <w:p>
      <w:pPr>
        <w:pStyle w:val="BodyText"/>
      </w:pPr>
      <w:r>
        <w:t xml:space="preserve">“Reverse-strand alignment”</w:t>
      </w:r>
      <w:r>
        <w:t xml:space="preserve"> </w:t>
      </w:r>
      <w:r>
        <w:t xml:space="preserve">means:</w:t>
      </w:r>
    </w:p>
    <w:p>
      <w:pPr>
        <w:pStyle w:val="BlockText"/>
      </w:pPr>
      <w:r>
        <w:t xml:space="preserve">The read matches the reverse-complement orientation of the reference.</w:t>
      </w:r>
    </w:p>
    <w:p>
      <w:r>
        <w:pict>
          <v:rect style="width:0;height:1.5pt" o:hralign="center" o:hrstd="t" o:hr="t"/>
        </w:pict>
      </w:r>
    </w:p>
    <w:bookmarkEnd w:id="42"/>
    <w:bookmarkEnd w:id="43"/>
    <w:bookmarkStart w:id="47" w:name="strand-balance-vs-mate-pair-metrics"/>
    <w:p>
      <w:pPr>
        <w:pStyle w:val="Heading2"/>
      </w:pPr>
      <w:r>
        <w:t xml:space="preserve">9. Strand balance vs mate-pair metrics</w:t>
      </w:r>
    </w:p>
    <w:bookmarkStart w:id="44" w:name="strand-balance"/>
    <w:p>
      <w:pPr>
        <w:pStyle w:val="Heading3"/>
      </w:pPr>
      <w:r>
        <w:t xml:space="preserve">Strand balance</w:t>
      </w:r>
    </w:p>
    <w:p>
      <w:pPr>
        <w:pStyle w:val="FirstParagraph"/>
      </w:pPr>
      <w:r>
        <w:t xml:space="preserve">Asks:</w:t>
      </w:r>
    </w:p>
    <w:p>
      <w:pPr>
        <w:pStyle w:val="BlockText"/>
      </w:pPr>
      <w:r>
        <w:t xml:space="preserve">Do ALT-supporting reads align to both reference strands?</w:t>
      </w:r>
    </w:p>
    <w:p>
      <w:pPr>
        <w:pStyle w:val="FirstParagraph"/>
      </w:pPr>
      <w:r>
        <w:t xml:space="preserve">Good:</w:t>
      </w:r>
    </w:p>
    <w:p>
      <w:pPr>
        <w:pStyle w:val="SourceCode"/>
      </w:pPr>
      <w:r>
        <w:rPr>
          <w:rStyle w:val="VerbatimChar"/>
        </w:rPr>
        <w:t xml:space="preserve">ALT on + strand: 12 reads</w:t>
      </w:r>
      <w:r>
        <w:br/>
      </w:r>
      <w:r>
        <w:rPr>
          <w:rStyle w:val="VerbatimChar"/>
        </w:rPr>
        <w:t xml:space="preserve">ALT on - strand: 11 reads</w:t>
      </w:r>
    </w:p>
    <w:p>
      <w:pPr>
        <w:pStyle w:val="FirstParagraph"/>
      </w:pPr>
      <w:r>
        <w:t xml:space="preserve">Suspicious:</w:t>
      </w:r>
    </w:p>
    <w:p>
      <w:pPr>
        <w:pStyle w:val="SourceCode"/>
      </w:pPr>
      <w:r>
        <w:rPr>
          <w:rStyle w:val="VerbatimChar"/>
        </w:rPr>
        <w:t xml:space="preserve">ALT on + strand: 23 reads</w:t>
      </w:r>
      <w:r>
        <w:br/>
      </w:r>
      <w:r>
        <w:rPr>
          <w:rStyle w:val="VerbatimChar"/>
        </w:rPr>
        <w:t xml:space="preserve">ALT on - strand: 0 reads</w:t>
      </w:r>
    </w:p>
    <w:p>
      <w:pPr>
        <w:pStyle w:val="FirstParagraph"/>
      </w:pPr>
      <w:r>
        <w:t xml:space="preserve">This may indicate sequencing, PCR, or alignment artifact.</w:t>
      </w:r>
    </w:p>
    <w:bookmarkEnd w:id="44"/>
    <w:bookmarkStart w:id="45" w:name="mate-pair-metrics"/>
    <w:p>
      <w:pPr>
        <w:pStyle w:val="Heading3"/>
      </w:pPr>
      <w:r>
        <w:t xml:space="preserve">Mate-pair metrics</w:t>
      </w:r>
    </w:p>
    <w:p>
      <w:pPr>
        <w:pStyle w:val="FirstParagraph"/>
      </w:pPr>
      <w:r>
        <w:t xml:space="preserve">Ask:</w:t>
      </w:r>
    </w:p>
    <w:p>
      <w:pPr>
        <w:pStyle w:val="Compact"/>
        <w:numPr>
          <w:ilvl w:val="0"/>
          <w:numId w:val="1005"/>
        </w:numPr>
      </w:pPr>
      <w:r>
        <w:t xml:space="preserve">Are both mates mapped?</w:t>
      </w:r>
    </w:p>
    <w:p>
      <w:pPr>
        <w:pStyle w:val="Compact"/>
        <w:numPr>
          <w:ilvl w:val="0"/>
          <w:numId w:val="1005"/>
        </w:numPr>
      </w:pPr>
      <w:r>
        <w:t xml:space="preserve">Are they on the same chromosome?</w:t>
      </w:r>
    </w:p>
    <w:p>
      <w:pPr>
        <w:pStyle w:val="Compact"/>
        <w:numPr>
          <w:ilvl w:val="0"/>
          <w:numId w:val="1005"/>
        </w:numPr>
      </w:pPr>
      <w:r>
        <w:t xml:space="preserve">Is insert size expected?</w:t>
      </w:r>
    </w:p>
    <w:p>
      <w:pPr>
        <w:pStyle w:val="Compact"/>
        <w:numPr>
          <w:ilvl w:val="0"/>
          <w:numId w:val="1005"/>
        </w:numPr>
      </w:pPr>
      <w:r>
        <w:t xml:space="preserve">Is orientation expected?</w:t>
      </w:r>
    </w:p>
    <w:p>
      <w:pPr>
        <w:pStyle w:val="FirstParagraph"/>
      </w:pPr>
      <w:r>
        <w:t xml:space="preserve">Example discordant pair:</w:t>
      </w:r>
    </w:p>
    <w:p>
      <w:pPr>
        <w:pStyle w:val="SourceCode"/>
      </w:pPr>
      <w:r>
        <w:rPr>
          <w:rStyle w:val="VerbatimChar"/>
        </w:rPr>
        <w:t xml:space="preserve">Read1 → Chr3</w:t>
      </w:r>
      <w:r>
        <w:br/>
      </w:r>
      <w:r>
        <w:rPr>
          <w:rStyle w:val="VerbatimChar"/>
        </w:rPr>
        <w:t xml:space="preserve">Read2 → Chr8</w:t>
      </w:r>
    </w:p>
    <w:p>
      <w:pPr>
        <w:pStyle w:val="FirstParagraph"/>
      </w:pPr>
      <w:r>
        <w:t xml:space="preserve">This is not strand bias. This is mate-pair discordance.</w:t>
      </w:r>
    </w:p>
    <w:bookmarkEnd w:id="45"/>
    <w:bookmarkStart w:id="46" w:name="interview-answer"/>
    <w:p>
      <w:pPr>
        <w:pStyle w:val="Heading3"/>
      </w:pPr>
      <w:r>
        <w:t xml:space="preserve">Interview answer</w:t>
      </w:r>
    </w:p>
    <w:p>
      <w:pPr>
        <w:pStyle w:val="BlockText"/>
      </w:pPr>
      <w:r>
        <w:t xml:space="preserve">Strand balance evaluates whether variant-supporting reads come from both genomic strands. Mate-pair metrics evaluate whether paired reads have expected orientation, distance, and chromosomal placement.</w:t>
      </w:r>
    </w:p>
    <w:p>
      <w:r>
        <w:pict>
          <v:rect style="width:0;height:1.5pt" o:hralign="center" o:hrstd="t" o:hr="t"/>
        </w:pict>
      </w:r>
    </w:p>
    <w:bookmarkEnd w:id="46"/>
    <w:bookmarkEnd w:id="47"/>
    <w:bookmarkStart w:id="51" w:name="X5567296d7122d05e03dcaf7ac6e0a4d36a34acd"/>
    <w:p>
      <w:pPr>
        <w:pStyle w:val="Heading2"/>
      </w:pPr>
      <w:r>
        <w:t xml:space="preserve">10. Structural variants and BAM alignment issues</w:t>
      </w:r>
    </w:p>
    <w:p>
      <w:pPr>
        <w:pStyle w:val="FirstParagraph"/>
      </w:pPr>
      <w:r>
        <w:t xml:space="preserve">Yes, SVs create alignment problems.</w:t>
      </w:r>
    </w:p>
    <w:p>
      <w:pPr>
        <w:pStyle w:val="BodyText"/>
      </w:pPr>
      <w:r>
        <w:t xml:space="preserve">Around a breakpoint, the true sample sequence may not exist contiguously in the reference.</w:t>
      </w:r>
    </w:p>
    <w:p>
      <w:pPr>
        <w:pStyle w:val="BodyText"/>
      </w:pPr>
      <w:r>
        <w:t xml:space="preserve">BWA may produce:</w:t>
      </w:r>
    </w:p>
    <w:p>
      <w:pPr>
        <w:pStyle w:val="Compact"/>
        <w:numPr>
          <w:ilvl w:val="0"/>
          <w:numId w:val="1006"/>
        </w:numPr>
      </w:pPr>
      <w:r>
        <w:t xml:space="preserve">soft-clipped reads</w:t>
      </w:r>
    </w:p>
    <w:p>
      <w:pPr>
        <w:pStyle w:val="Compact"/>
        <w:numPr>
          <w:ilvl w:val="0"/>
          <w:numId w:val="1006"/>
        </w:numPr>
      </w:pPr>
      <w:r>
        <w:t xml:space="preserve">split reads / supplementary alignments</w:t>
      </w:r>
    </w:p>
    <w:p>
      <w:pPr>
        <w:pStyle w:val="Compact"/>
        <w:numPr>
          <w:ilvl w:val="0"/>
          <w:numId w:val="1006"/>
        </w:numPr>
      </w:pPr>
      <w:r>
        <w:t xml:space="preserve">discordant pairs</w:t>
      </w:r>
    </w:p>
    <w:p>
      <w:pPr>
        <w:pStyle w:val="Compact"/>
        <w:numPr>
          <w:ilvl w:val="0"/>
          <w:numId w:val="1006"/>
        </w:numPr>
      </w:pPr>
      <w:r>
        <w:t xml:space="preserve">low MAPQ</w:t>
      </w:r>
    </w:p>
    <w:p>
      <w:pPr>
        <w:pStyle w:val="Compact"/>
        <w:numPr>
          <w:ilvl w:val="0"/>
          <w:numId w:val="1006"/>
        </w:numPr>
      </w:pPr>
      <w:r>
        <w:t xml:space="preserve">abnormal insert sizes</w:t>
      </w:r>
    </w:p>
    <w:p>
      <w:pPr>
        <w:pStyle w:val="FirstParagraph"/>
      </w:pPr>
      <w:r>
        <w:t xml:space="preserve">For SNV calling, these can be artifacts.</w:t>
      </w:r>
    </w:p>
    <w:p>
      <w:pPr>
        <w:pStyle w:val="BodyText"/>
      </w:pPr>
      <w:r>
        <w:t xml:space="preserve">For SV calling, these are often the signal.</w:t>
      </w:r>
    </w:p>
    <w:bookmarkStart w:id="48" w:name="example-deletion"/>
    <w:p>
      <w:pPr>
        <w:pStyle w:val="Heading3"/>
      </w:pPr>
      <w:r>
        <w:t xml:space="preserve">Example: deletion</w:t>
      </w:r>
    </w:p>
    <w:p>
      <w:pPr>
        <w:pStyle w:val="FirstParagraph"/>
      </w:pPr>
      <w:r>
        <w:t xml:space="preserve">Reference:</w:t>
      </w:r>
    </w:p>
    <w:p>
      <w:pPr>
        <w:pStyle w:val="SourceCode"/>
      </w:pPr>
      <w:r>
        <w:rPr>
          <w:rStyle w:val="VerbatimChar"/>
        </w:rPr>
        <w:t xml:space="preserve">ABCDEFGHJKLMNOP</w:t>
      </w:r>
    </w:p>
    <w:p>
      <w:pPr>
        <w:pStyle w:val="FirstParagraph"/>
      </w:pPr>
      <w:r>
        <w:t xml:space="preserve">Sample:</w:t>
      </w:r>
    </w:p>
    <w:p>
      <w:pPr>
        <w:pStyle w:val="SourceCode"/>
      </w:pPr>
      <w:r>
        <w:rPr>
          <w:rStyle w:val="VerbatimChar"/>
        </w:rPr>
        <w:t xml:space="preserve">ABCDJKLMNOP</w:t>
      </w:r>
    </w:p>
    <w:p>
      <w:pPr>
        <w:pStyle w:val="FirstParagraph"/>
      </w:pPr>
      <w:r>
        <w:t xml:space="preserve">Reads spanning the deletion may produce large apparent insert sizes or split alignments.</w:t>
      </w:r>
    </w:p>
    <w:bookmarkEnd w:id="48"/>
    <w:bookmarkStart w:id="49" w:name="example-inversion"/>
    <w:p>
      <w:pPr>
        <w:pStyle w:val="Heading3"/>
      </w:pPr>
      <w:r>
        <w:t xml:space="preserve">Example: inversion</w:t>
      </w:r>
    </w:p>
    <w:p>
      <w:pPr>
        <w:pStyle w:val="FirstParagraph"/>
      </w:pPr>
      <w:r>
        <w:t xml:space="preserve">Normal orientation:</w:t>
      </w:r>
    </w:p>
    <w:p>
      <w:pPr>
        <w:pStyle w:val="SourceCode"/>
      </w:pPr>
      <w:r>
        <w:rPr>
          <w:rStyle w:val="VerbatimChar"/>
        </w:rPr>
        <w:t xml:space="preserve">--------&gt;      &lt;--------</w:t>
      </w:r>
    </w:p>
    <w:p>
      <w:pPr>
        <w:pStyle w:val="FirstParagraph"/>
      </w:pPr>
      <w:r>
        <w:t xml:space="preserve">Inversion-supporting pairs may look like:</w:t>
      </w:r>
    </w:p>
    <w:p>
      <w:pPr>
        <w:pStyle w:val="SourceCode"/>
      </w:pPr>
      <w:r>
        <w:rPr>
          <w:rStyle w:val="VerbatimChar"/>
        </w:rPr>
        <w:t xml:space="preserve">--------&gt;      --------&gt;</w:t>
      </w:r>
    </w:p>
    <w:p>
      <w:pPr>
        <w:pStyle w:val="FirstParagraph"/>
      </w:pPr>
      <w:r>
        <w:t xml:space="preserve">or</w:t>
      </w:r>
    </w:p>
    <w:p>
      <w:pPr>
        <w:pStyle w:val="SourceCode"/>
      </w:pPr>
      <w:r>
        <w:rPr>
          <w:rStyle w:val="VerbatimChar"/>
        </w:rPr>
        <w:t xml:space="preserve">&lt;--------      &lt;--------</w:t>
      </w:r>
    </w:p>
    <w:bookmarkEnd w:id="49"/>
    <w:bookmarkStart w:id="50" w:name="sv-caller-logic"/>
    <w:p>
      <w:pPr>
        <w:pStyle w:val="Heading3"/>
      </w:pPr>
      <w:r>
        <w:t xml:space="preserve">SV caller logic</w:t>
      </w:r>
    </w:p>
    <w:p>
      <w:pPr>
        <w:pStyle w:val="FirstParagraph"/>
      </w:pPr>
      <w:r>
        <w:t xml:space="preserve">SV callers integrate:</w:t>
      </w:r>
    </w:p>
    <w:p>
      <w:pPr>
        <w:pStyle w:val="Compact"/>
        <w:numPr>
          <w:ilvl w:val="0"/>
          <w:numId w:val="1007"/>
        </w:numPr>
      </w:pPr>
      <w:r>
        <w:t xml:space="preserve">discordant mate pairs</w:t>
      </w:r>
    </w:p>
    <w:p>
      <w:pPr>
        <w:pStyle w:val="Compact"/>
        <w:numPr>
          <w:ilvl w:val="0"/>
          <w:numId w:val="1007"/>
        </w:numPr>
      </w:pPr>
      <w:r>
        <w:t xml:space="preserve">soft clipping</w:t>
      </w:r>
    </w:p>
    <w:p>
      <w:pPr>
        <w:pStyle w:val="Compact"/>
        <w:numPr>
          <w:ilvl w:val="0"/>
          <w:numId w:val="1007"/>
        </w:numPr>
      </w:pPr>
      <w:r>
        <w:t xml:space="preserve">split reads</w:t>
      </w:r>
    </w:p>
    <w:p>
      <w:pPr>
        <w:pStyle w:val="Compact"/>
        <w:numPr>
          <w:ilvl w:val="0"/>
          <w:numId w:val="1007"/>
        </w:numPr>
      </w:pPr>
      <w:r>
        <w:t xml:space="preserve">local depth changes</w:t>
      </w:r>
    </w:p>
    <w:p>
      <w:pPr>
        <w:pStyle w:val="Compact"/>
        <w:numPr>
          <w:ilvl w:val="0"/>
          <w:numId w:val="1007"/>
        </w:numPr>
      </w:pPr>
      <w:r>
        <w:t xml:space="preserve">local assembly evidence</w:t>
      </w:r>
    </w:p>
    <w:p>
      <w:pPr>
        <w:pStyle w:val="FirstParagraph"/>
      </w:pPr>
      <w:r>
        <w:t xml:space="preserve">Interview answer:</w:t>
      </w:r>
    </w:p>
    <w:p>
      <w:pPr>
        <w:pStyle w:val="BlockText"/>
      </w:pPr>
      <w:r>
        <w:t xml:space="preserve">SV callers use imperfect alignments as evidence. Around SV breakpoints, alignment anomalies are not just noise; consistent anomalies across many reads can indicate a real structural variant.</w:t>
      </w:r>
    </w:p>
    <w:p>
      <w:r>
        <w:pict>
          <v:rect style="width:0;height:1.5pt" o:hralign="center" o:hrstd="t" o:hr="t"/>
        </w:pict>
      </w:r>
    </w:p>
    <w:bookmarkEnd w:id="50"/>
    <w:bookmarkEnd w:id="51"/>
    <w:bookmarkStart w:id="52" w:name="mate-mapped-to-different-chromosome"/>
    <w:p>
      <w:pPr>
        <w:pStyle w:val="Heading2"/>
      </w:pPr>
      <w:r>
        <w:t xml:space="preserve">11.</w:t>
      </w:r>
      <w:r>
        <w:t xml:space="preserve"> </w:t>
      </w:r>
      <w:r>
        <w:t xml:space="preserve">“Mate mapped to different chromosome”</w:t>
      </w:r>
    </w:p>
    <w:p>
      <w:pPr>
        <w:pStyle w:val="FirstParagraph"/>
      </w:pPr>
      <w:r>
        <w:t xml:space="preserve">This means paired-end reads where one mate maps to one chromosome and the other maps elsewhere.</w:t>
      </w:r>
    </w:p>
    <w:p>
      <w:pPr>
        <w:pStyle w:val="BodyText"/>
      </w:pPr>
      <w:r>
        <w:t xml:space="preserve">Example:</w:t>
      </w:r>
    </w:p>
    <w:p>
      <w:pPr>
        <w:pStyle w:val="SourceCode"/>
      </w:pPr>
      <w:r>
        <w:rPr>
          <w:rStyle w:val="VerbatimChar"/>
        </w:rPr>
        <w:t xml:space="preserve">Read1 → Chr3</w:t>
      </w:r>
      <w:r>
        <w:br/>
      </w:r>
      <w:r>
        <w:rPr>
          <w:rStyle w:val="VerbatimChar"/>
        </w:rPr>
        <w:t xml:space="preserve">Read2 → Chr8</w:t>
      </w:r>
    </w:p>
    <w:p>
      <w:pPr>
        <w:pStyle w:val="FirstParagraph"/>
      </w:pPr>
      <w:r>
        <w:t xml:space="preserve">This is not automatically wrong.</w:t>
      </w:r>
    </w:p>
    <w:p>
      <w:pPr>
        <w:pStyle w:val="BodyText"/>
      </w:pPr>
      <w:r>
        <w:t xml:space="preserve">Possible causes:</w:t>
      </w:r>
    </w:p>
    <w:p>
      <w:pPr>
        <w:pStyle w:val="Compact"/>
        <w:numPr>
          <w:ilvl w:val="0"/>
          <w:numId w:val="1008"/>
        </w:numPr>
      </w:pPr>
      <w:r>
        <w:t xml:space="preserve">translocation</w:t>
      </w:r>
    </w:p>
    <w:p>
      <w:pPr>
        <w:pStyle w:val="Compact"/>
        <w:numPr>
          <w:ilvl w:val="0"/>
          <w:numId w:val="1008"/>
        </w:numPr>
      </w:pPr>
      <w:r>
        <w:t xml:space="preserve">chimeric molecule</w:t>
      </w:r>
    </w:p>
    <w:p>
      <w:pPr>
        <w:pStyle w:val="Compact"/>
        <w:numPr>
          <w:ilvl w:val="0"/>
          <w:numId w:val="1008"/>
        </w:numPr>
      </w:pPr>
      <w:r>
        <w:t xml:space="preserve">mapping ambiguity</w:t>
      </w:r>
    </w:p>
    <w:p>
      <w:pPr>
        <w:pStyle w:val="Compact"/>
        <w:numPr>
          <w:ilvl w:val="0"/>
          <w:numId w:val="1008"/>
        </w:numPr>
      </w:pPr>
      <w:r>
        <w:t xml:space="preserve">repetitive sequence</w:t>
      </w:r>
    </w:p>
    <w:p>
      <w:pPr>
        <w:pStyle w:val="Compact"/>
        <w:numPr>
          <w:ilvl w:val="0"/>
          <w:numId w:val="1008"/>
        </w:numPr>
      </w:pPr>
      <w:r>
        <w:t xml:space="preserve">contamination</w:t>
      </w:r>
    </w:p>
    <w:p>
      <w:pPr>
        <w:pStyle w:val="Compact"/>
        <w:numPr>
          <w:ilvl w:val="0"/>
          <w:numId w:val="1008"/>
        </w:numPr>
      </w:pPr>
      <w:r>
        <w:t xml:space="preserve">library artifact</w:t>
      </w:r>
    </w:p>
    <w:p>
      <w:pPr>
        <w:pStyle w:val="Compact"/>
        <w:numPr>
          <w:ilvl w:val="0"/>
          <w:numId w:val="1008"/>
        </w:numPr>
      </w:pPr>
      <w:r>
        <w:t xml:space="preserve">reference/alt contig issues</w:t>
      </w:r>
    </w:p>
    <w:p>
      <w:pPr>
        <w:pStyle w:val="FirstParagraph"/>
      </w:pPr>
      <w:r>
        <w:t xml:space="preserve">Interpret by fraction, not raw count.</w:t>
      </w:r>
    </w:p>
    <w:p>
      <w:pPr>
        <w:pStyle w:val="BodyText"/>
      </w:pPr>
      <w:r>
        <w:t xml:space="preserve">If:</w:t>
      </w:r>
    </w:p>
    <w:p>
      <w:pPr>
        <w:pStyle w:val="SourceCode"/>
      </w:pPr>
      <w:r>
        <w:rPr>
          <w:rStyle w:val="VerbatimChar"/>
        </w:rPr>
        <w:t xml:space="preserve">34,510 discordant pairs</w:t>
      </w:r>
    </w:p>
    <w:p>
      <w:pPr>
        <w:pStyle w:val="FirstParagraph"/>
      </w:pPr>
      <w:r>
        <w:t xml:space="preserve">out of tens of millions of reads, this is likely a small QC flag, not a failed alignment.</w:t>
      </w:r>
    </w:p>
    <w:p>
      <w:r>
        <w:pict>
          <v:rect style="width:0;height:1.5pt" o:hralign="center" o:hrstd="t" o:hr="t"/>
        </w:pict>
      </w:r>
    </w:p>
    <w:bookmarkEnd w:id="52"/>
    <w:bookmarkStart w:id="58" w:name="coverage-strata-what-your-table-means"/>
    <w:p>
      <w:pPr>
        <w:pStyle w:val="Heading2"/>
      </w:pPr>
      <w:r>
        <w:t xml:space="preserve">12. Coverage strata: what your table means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Stratum</w:t>
            </w:r>
          </w:p>
        </w:tc>
        <w:tc>
          <w:tcPr/>
          <w:p>
            <w:pPr>
              <w:pStyle w:val="Compact"/>
              <w:jc w:val="right"/>
            </w:pPr>
            <w:r>
              <w:t xml:space="preserve">Mean depth</w:t>
            </w:r>
          </w:p>
        </w:tc>
        <w:tc>
          <w:tcPr/>
          <w:p>
            <w:pPr>
              <w:pStyle w:val="Compact"/>
              <w:jc w:val="right"/>
            </w:pPr>
            <w:r>
              <w:t xml:space="preserve">% below 20x</w:t>
            </w:r>
          </w:p>
        </w:tc>
        <w:tc>
          <w:tcPr/>
          <w:p>
            <w:pPr>
              <w:pStyle w:val="Compact"/>
            </w:pPr>
            <w:r>
              <w:t xml:space="preserve">Interpretation</w:t>
            </w:r>
          </w:p>
        </w:tc>
      </w:tr>
      <w:tr>
        <w:tc>
          <w:tcPr/>
          <w:p>
            <w:pPr>
              <w:pStyle w:val="Compact"/>
            </w:pPr>
            <w:r>
              <w:t xml:space="preserve">Homopolymers</w:t>
            </w:r>
          </w:p>
        </w:tc>
        <w:tc>
          <w:tcPr/>
          <w:p>
            <w:pPr>
              <w:pStyle w:val="Compact"/>
              <w:jc w:val="right"/>
            </w:pPr>
            <w:r>
              <w:t xml:space="preserve">64.63x</w:t>
            </w:r>
          </w:p>
        </w:tc>
        <w:tc>
          <w:tcPr/>
          <w:p>
            <w:pPr>
              <w:pStyle w:val="Compact"/>
              <w:jc w:val="right"/>
            </w:pPr>
            <w:r>
              <w:t xml:space="preserve">3.76%</w:t>
            </w:r>
          </w:p>
        </w:tc>
        <w:tc>
          <w:tcPr/>
          <w:p>
            <w:pPr>
              <w:pStyle w:val="Compact"/>
            </w:pPr>
            <w:r>
              <w:t xml:space="preserve">Good coverage; errors more likely chemistry/indel-related than depth-related</w:t>
            </w:r>
          </w:p>
        </w:tc>
      </w:tr>
      <w:tr>
        <w:tc>
          <w:tcPr/>
          <w:p>
            <w:pPr>
              <w:pStyle w:val="Compact"/>
            </w:pPr>
            <w:r>
              <w:t xml:space="preserve">Tandem repeats</w:t>
            </w:r>
          </w:p>
        </w:tc>
        <w:tc>
          <w:tcPr/>
          <w:p>
            <w:pPr>
              <w:pStyle w:val="Compact"/>
              <w:jc w:val="right"/>
            </w:pPr>
            <w:r>
              <w:t xml:space="preserve">47.44x</w:t>
            </w:r>
          </w:p>
        </w:tc>
        <w:tc>
          <w:tcPr/>
          <w:p>
            <w:pPr>
              <w:pStyle w:val="Compact"/>
              <w:jc w:val="right"/>
            </w:pPr>
            <w:r>
              <w:t xml:space="preserve">49.87%</w:t>
            </w:r>
          </w:p>
        </w:tc>
        <w:tc>
          <w:tcPr/>
          <w:p>
            <w:pPr>
              <w:pStyle w:val="Compact"/>
            </w:pPr>
            <w:r>
              <w:t xml:space="preserve">Poor effective coverage; high risk for missed/incorrect calls</w:t>
            </w:r>
          </w:p>
        </w:tc>
      </w:tr>
      <w:tr>
        <w:tc>
          <w:tcPr/>
          <w:p>
            <w:pPr>
              <w:pStyle w:val="Compact"/>
            </w:pPr>
            <w:r>
              <w:t xml:space="preserve">Segmental duplications</w:t>
            </w:r>
          </w:p>
        </w:tc>
        <w:tc>
          <w:tcPr/>
          <w:p>
            <w:pPr>
              <w:pStyle w:val="Compact"/>
              <w:jc w:val="right"/>
            </w:pPr>
            <w:r>
              <w:t xml:space="preserve">84.43x</w:t>
            </w:r>
          </w:p>
        </w:tc>
        <w:tc>
          <w:tcPr/>
          <w:p>
            <w:pPr>
              <w:pStyle w:val="Compact"/>
              <w:jc w:val="right"/>
            </w:pPr>
            <w:r>
              <w:t xml:space="preserve">7.98%</w:t>
            </w:r>
          </w:p>
        </w:tc>
        <w:tc>
          <w:tcPr/>
          <w:p>
            <w:pPr>
              <w:pStyle w:val="Compact"/>
            </w:pPr>
            <w:r>
              <w:t xml:space="preserve">High depth, but mapping ambiguity remains</w:t>
            </w:r>
          </w:p>
        </w:tc>
      </w:tr>
      <w:tr>
        <w:tc>
          <w:tcPr/>
          <w:p>
            <w:pPr>
              <w:pStyle w:val="Compact"/>
            </w:pPr>
            <w:r>
              <w:t xml:space="preserve">Low mappability</w:t>
            </w:r>
          </w:p>
        </w:tc>
        <w:tc>
          <w:tcPr/>
          <w:p>
            <w:pPr>
              <w:pStyle w:val="Compact"/>
              <w:jc w:val="right"/>
            </w:pPr>
            <w:r>
              <w:t xml:space="preserve">51.45x</w:t>
            </w:r>
          </w:p>
        </w:tc>
        <w:tc>
          <w:tcPr/>
          <w:p>
            <w:pPr>
              <w:pStyle w:val="Compact"/>
              <w:jc w:val="right"/>
            </w:pPr>
            <w:r>
              <w:t xml:space="preserve">44.94%</w:t>
            </w:r>
          </w:p>
        </w:tc>
        <w:tc>
          <w:tcPr/>
          <w:p>
            <w:pPr>
              <w:pStyle w:val="Compact"/>
            </w:pPr>
            <w:r>
              <w:t xml:space="preserve">Moderate average depth but large under-covered fraction</w:t>
            </w:r>
          </w:p>
        </w:tc>
      </w:tr>
    </w:tbl>
    <w:bookmarkStart w:id="53" w:name="key-lesson"/>
    <w:p>
      <w:pPr>
        <w:pStyle w:val="Heading3"/>
      </w:pPr>
      <w:r>
        <w:t xml:space="preserve">Key lesson</w:t>
      </w:r>
    </w:p>
    <w:p>
      <w:pPr>
        <w:pStyle w:val="FirstParagraph"/>
      </w:pPr>
      <w:r>
        <w:t xml:space="preserve">Mean depth alone can be misleading.</w:t>
      </w:r>
    </w:p>
    <w:p>
      <w:pPr>
        <w:pStyle w:val="BodyText"/>
      </w:pPr>
      <w:r>
        <w:t xml:space="preserve">A region can have high average depth but still be unreliable because reads cannot be uniquely placed.</w:t>
      </w:r>
    </w:p>
    <w:bookmarkEnd w:id="53"/>
    <w:bookmarkStart w:id="54" w:name="homopolymers"/>
    <w:p>
      <w:pPr>
        <w:pStyle w:val="Heading3"/>
      </w:pPr>
      <w:r>
        <w:t xml:space="preserve">Homopolymers</w:t>
      </w:r>
    </w:p>
    <w:p>
      <w:pPr>
        <w:pStyle w:val="FirstParagraph"/>
      </w:pPr>
      <w:r>
        <w:t xml:space="preserve">Same base repeated:</w:t>
      </w:r>
    </w:p>
    <w:p>
      <w:pPr>
        <w:pStyle w:val="SourceCode"/>
      </w:pPr>
      <w:r>
        <w:rPr>
          <w:rStyle w:val="VerbatimChar"/>
        </w:rPr>
        <w:t xml:space="preserve">AAAAAAAAAAAA</w:t>
      </w:r>
    </w:p>
    <w:p>
      <w:pPr>
        <w:pStyle w:val="FirstParagraph"/>
      </w:pPr>
      <w:r>
        <w:t xml:space="preserve">Challenge: indel/sequencing slippage.</w:t>
      </w:r>
    </w:p>
    <w:bookmarkEnd w:id="54"/>
    <w:bookmarkStart w:id="55" w:name="tandem-repeats"/>
    <w:p>
      <w:pPr>
        <w:pStyle w:val="Heading3"/>
      </w:pPr>
      <w:r>
        <w:t xml:space="preserve">Tandem repeats</w:t>
      </w:r>
    </w:p>
    <w:p>
      <w:pPr>
        <w:pStyle w:val="FirstParagraph"/>
      </w:pPr>
      <w:r>
        <w:t xml:space="preserve">Motif repeated:</w:t>
      </w:r>
    </w:p>
    <w:p>
      <w:pPr>
        <w:pStyle w:val="SourceCode"/>
      </w:pPr>
      <w:r>
        <w:rPr>
          <w:rStyle w:val="VerbatimChar"/>
        </w:rPr>
        <w:t xml:space="preserve">CAGCAGCAGCAG</w:t>
      </w:r>
    </w:p>
    <w:p>
      <w:pPr>
        <w:pStyle w:val="FirstParagraph"/>
      </w:pPr>
      <w:r>
        <w:t xml:space="preserve">Challenge: indel placement, repeat-length ambiguity, poor effective coverage.</w:t>
      </w:r>
    </w:p>
    <w:bookmarkEnd w:id="55"/>
    <w:bookmarkStart w:id="56" w:name="segmental-duplications"/>
    <w:p>
      <w:pPr>
        <w:pStyle w:val="Heading3"/>
      </w:pPr>
      <w:r>
        <w:t xml:space="preserve">Segmental duplications</w:t>
      </w:r>
    </w:p>
    <w:p>
      <w:pPr>
        <w:pStyle w:val="FirstParagraph"/>
      </w:pPr>
      <w:r>
        <w:t xml:space="preserve">Large duplicated regions with high sequence identity.</w:t>
      </w:r>
    </w:p>
    <w:p>
      <w:pPr>
        <w:pStyle w:val="BodyText"/>
      </w:pPr>
      <w:r>
        <w:t xml:space="preserve">Challenge: reads map equally well to multiple locations.</w:t>
      </w:r>
    </w:p>
    <w:bookmarkEnd w:id="56"/>
    <w:bookmarkStart w:id="57" w:name="low-mappability"/>
    <w:p>
      <w:pPr>
        <w:pStyle w:val="Heading3"/>
      </w:pPr>
      <w:r>
        <w:t xml:space="preserve">Low mappability</w:t>
      </w:r>
    </w:p>
    <w:p>
      <w:pPr>
        <w:pStyle w:val="FirstParagraph"/>
      </w:pPr>
      <w:r>
        <w:t xml:space="preserve">Reads are not unique in the genome.</w:t>
      </w:r>
    </w:p>
    <w:p>
      <w:pPr>
        <w:pStyle w:val="BodyText"/>
      </w:pPr>
      <w:r>
        <w:t xml:space="preserve">Challenge: low MAPQ, ambiguous alignment, false positives/false negatives.</w:t>
      </w:r>
    </w:p>
    <w:p>
      <w:pPr>
        <w:pStyle w:val="BodyText"/>
      </w:pPr>
      <w:r>
        <w:t xml:space="preserve">Interview answer:</w:t>
      </w:r>
    </w:p>
    <w:p>
      <w:pPr>
        <w:pStyle w:val="BlockText"/>
      </w:pPr>
      <w:r>
        <w:t xml:space="preserve">Coverage and variant-calling reliability are not synonymous. High depth cannot fully rescue low mappability or duplicated sequence.</w:t>
      </w:r>
    </w:p>
    <w:p>
      <w:r>
        <w:pict>
          <v:rect style="width:0;height:1.5pt" o:hralign="center" o:hrstd="t" o:hr="t"/>
        </w:pict>
      </w:r>
    </w:p>
    <w:bookmarkEnd w:id="57"/>
    <w:bookmarkEnd w:id="58"/>
    <w:bookmarkStart w:id="63" w:name="pseudogenes-vs-segmental-duplications"/>
    <w:p>
      <w:pPr>
        <w:pStyle w:val="Heading2"/>
      </w:pPr>
      <w:r>
        <w:t xml:space="preserve">13. Pseudogenes vs segmental duplications</w:t>
      </w:r>
    </w:p>
    <w:p>
      <w:pPr>
        <w:pStyle w:val="FirstParagraph"/>
      </w:pPr>
      <w:r>
        <w:t xml:space="preserve">They overlap sometimes, but they are not the same.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Pseudogene</w:t>
            </w:r>
          </w:p>
        </w:tc>
        <w:tc>
          <w:tcPr/>
          <w:p>
            <w:pPr>
              <w:pStyle w:val="Compact"/>
            </w:pPr>
            <w:r>
              <w:t xml:space="preserve">Segmental duplication</w:t>
            </w:r>
          </w:p>
        </w:tc>
      </w:tr>
      <w:tr>
        <w:tc>
          <w:tcPr/>
          <w:p>
            <w:pPr>
              <w:pStyle w:val="Compact"/>
            </w:pPr>
            <w:r>
              <w:t xml:space="preserve">Defined by</w:t>
            </w:r>
          </w:p>
        </w:tc>
        <w:tc>
          <w:tcPr/>
          <w:p>
            <w:pPr>
              <w:pStyle w:val="Compact"/>
            </w:pPr>
            <w:r>
              <w:t xml:space="preserve">Gene function/status</w:t>
            </w:r>
          </w:p>
        </w:tc>
        <w:tc>
          <w:tcPr/>
          <w:p>
            <w:pPr>
              <w:pStyle w:val="Compact"/>
            </w:pPr>
            <w:r>
              <w:t xml:space="preserve">Sequence architecture</w:t>
            </w:r>
          </w:p>
        </w:tc>
      </w:tr>
      <w:tr>
        <w:tc>
          <w:tcPr/>
          <w:p>
            <w:pPr>
              <w:pStyle w:val="Compact"/>
            </w:pPr>
            <w:r>
              <w:t xml:space="preserve">Meaning</w:t>
            </w:r>
          </w:p>
        </w:tc>
        <w:tc>
          <w:tcPr/>
          <w:p>
            <w:pPr>
              <w:pStyle w:val="Compact"/>
            </w:pPr>
            <w:r>
              <w:t xml:space="preserve">Gene-like sequence that lost original function</w:t>
            </w:r>
          </w:p>
        </w:tc>
        <w:tc>
          <w:tcPr/>
          <w:p>
            <w:pPr>
              <w:pStyle w:val="Compact"/>
            </w:pPr>
            <w:r>
              <w:t xml:space="preserve">Large duplicated DNA segment</w:t>
            </w:r>
          </w:p>
        </w:tc>
      </w:tr>
      <w:tr>
        <w:tc>
          <w:tcPr/>
          <w:p>
            <w:pPr>
              <w:pStyle w:val="Compact"/>
            </w:pPr>
            <w:r>
              <w:t xml:space="preserve">Can contain genes?</w:t>
            </w:r>
          </w:p>
        </w:tc>
        <w:tc>
          <w:tcPr/>
          <w:p>
            <w:pPr>
              <w:pStyle w:val="Compact"/>
            </w:pPr>
            <w:r>
              <w:t xml:space="preserve">Yes</w:t>
            </w:r>
          </w:p>
        </w:tc>
        <w:tc>
          <w:tcPr/>
          <w:p>
            <w:pPr>
              <w:pStyle w:val="Compact"/>
            </w:pPr>
            <w:r>
              <w:t xml:space="preserve">Yes</w:t>
            </w:r>
          </w:p>
        </w:tc>
      </w:tr>
      <w:tr>
        <w:tc>
          <w:tcPr/>
          <w:p>
            <w:pPr>
              <w:pStyle w:val="Compact"/>
            </w:pPr>
            <w:r>
              <w:t xml:space="preserve">Main sequencing issue</w:t>
            </w:r>
          </w:p>
        </w:tc>
        <w:tc>
          <w:tcPr/>
          <w:p>
            <w:pPr>
              <w:pStyle w:val="Compact"/>
            </w:pPr>
            <w:r>
              <w:t xml:space="preserve">Similarity to parent gene</w:t>
            </w:r>
          </w:p>
        </w:tc>
        <w:tc>
          <w:tcPr/>
          <w:p>
            <w:pPr>
              <w:pStyle w:val="Compact"/>
            </w:pPr>
            <w:r>
              <w:t xml:space="preserve">Similarity between duplicated loci</w:t>
            </w:r>
          </w:p>
        </w:tc>
      </w:tr>
    </w:tbl>
    <w:bookmarkStart w:id="59" w:name="pseudogene"/>
    <w:p>
      <w:pPr>
        <w:pStyle w:val="Heading3"/>
      </w:pPr>
      <w:r>
        <w:t xml:space="preserve">Pseudogene</w:t>
      </w:r>
    </w:p>
    <w:p>
      <w:pPr>
        <w:pStyle w:val="FirstParagraph"/>
      </w:pPr>
      <w:r>
        <w:t xml:space="preserve">A pseudogene is a gene copy that no longer produces the original functional product.</w:t>
      </w:r>
    </w:p>
    <w:p>
      <w:pPr>
        <w:pStyle w:val="BodyText"/>
      </w:pPr>
      <w:r>
        <w:t xml:space="preserve">It may arise by:</w:t>
      </w:r>
    </w:p>
    <w:p>
      <w:pPr>
        <w:pStyle w:val="Compact"/>
        <w:numPr>
          <w:ilvl w:val="0"/>
          <w:numId w:val="1009"/>
        </w:numPr>
      </w:pPr>
      <w:r>
        <w:t xml:space="preserve">gene duplication</w:t>
      </w:r>
    </w:p>
    <w:p>
      <w:pPr>
        <w:pStyle w:val="Compact"/>
        <w:numPr>
          <w:ilvl w:val="0"/>
          <w:numId w:val="1009"/>
        </w:numPr>
      </w:pPr>
      <w:r>
        <w:t xml:space="preserve">retrotransposition</w:t>
      </w:r>
    </w:p>
    <w:bookmarkEnd w:id="59"/>
    <w:bookmarkStart w:id="60" w:name="segmental-duplication"/>
    <w:p>
      <w:pPr>
        <w:pStyle w:val="Heading3"/>
      </w:pPr>
      <w:r>
        <w:t xml:space="preserve">Segmental duplication</w:t>
      </w:r>
    </w:p>
    <w:p>
      <w:pPr>
        <w:pStyle w:val="FirstParagraph"/>
      </w:pPr>
      <w:r>
        <w:t xml:space="preserve">A large copied DNA segment, often highly similar to another genomic region.</w:t>
      </w:r>
    </w:p>
    <w:bookmarkEnd w:id="60"/>
    <w:bookmarkStart w:id="61" w:name="relationship"/>
    <w:p>
      <w:pPr>
        <w:pStyle w:val="Heading3"/>
      </w:pPr>
      <w:r>
        <w:t xml:space="preserve">Relationship</w:t>
      </w:r>
    </w:p>
    <w:p>
      <w:pPr>
        <w:pStyle w:val="FirstParagraph"/>
      </w:pPr>
      <w:r>
        <w:t xml:space="preserve">A pseudogene can reside within a segmental duplication, but not all pseudogenes are segmental duplications and not all segmental duplications are pseudogenes.</w:t>
      </w:r>
    </w:p>
    <w:bookmarkEnd w:id="61"/>
    <w:bookmarkStart w:id="62" w:name="sequencing-issue"/>
    <w:p>
      <w:pPr>
        <w:pStyle w:val="Heading3"/>
      </w:pPr>
      <w:r>
        <w:t xml:space="preserve">Sequencing issue</w:t>
      </w:r>
    </w:p>
    <w:p>
      <w:pPr>
        <w:pStyle w:val="FirstParagraph"/>
      </w:pPr>
      <w:r>
        <w:t xml:space="preserve">Reads from a functional gene and pseudogene may be nearly identical.</w:t>
      </w:r>
    </w:p>
    <w:p>
      <w:pPr>
        <w:pStyle w:val="BodyText"/>
      </w:pPr>
      <w:r>
        <w:t xml:space="preserve">Result:</w:t>
      </w:r>
    </w:p>
    <w:p>
      <w:pPr>
        <w:pStyle w:val="Compact"/>
        <w:numPr>
          <w:ilvl w:val="0"/>
          <w:numId w:val="1010"/>
        </w:numPr>
      </w:pPr>
      <w:r>
        <w:t xml:space="preserve">low MAPQ</w:t>
      </w:r>
    </w:p>
    <w:p>
      <w:pPr>
        <w:pStyle w:val="Compact"/>
        <w:numPr>
          <w:ilvl w:val="0"/>
          <w:numId w:val="1010"/>
        </w:numPr>
      </w:pPr>
      <w:r>
        <w:t xml:space="preserve">false positives</w:t>
      </w:r>
    </w:p>
    <w:p>
      <w:pPr>
        <w:pStyle w:val="Compact"/>
        <w:numPr>
          <w:ilvl w:val="0"/>
          <w:numId w:val="1010"/>
        </w:numPr>
      </w:pPr>
      <w:r>
        <w:t xml:space="preserve">false negatives</w:t>
      </w:r>
    </w:p>
    <w:p>
      <w:pPr>
        <w:pStyle w:val="Compact"/>
        <w:numPr>
          <w:ilvl w:val="0"/>
          <w:numId w:val="1010"/>
        </w:numPr>
      </w:pPr>
      <w:r>
        <w:t xml:space="preserve">wrong allele fractions</w:t>
      </w:r>
    </w:p>
    <w:p>
      <w:r>
        <w:pict>
          <v:rect style="width:0;height:1.5pt" o:hralign="center" o:hrstd="t" o:hr="t"/>
        </w:pict>
      </w:r>
    </w:p>
    <w:bookmarkEnd w:id="62"/>
    <w:bookmarkEnd w:id="63"/>
    <w:bookmarkStart w:id="67" w:name="gatk-vs-strelka2"/>
    <w:p>
      <w:pPr>
        <w:pStyle w:val="Heading2"/>
      </w:pPr>
      <w:r>
        <w:t xml:space="preserve">14. GATK vs Strelka2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GATK HaplotypeCaller</w:t>
            </w:r>
          </w:p>
        </w:tc>
        <w:tc>
          <w:tcPr/>
          <w:p>
            <w:pPr>
              <w:pStyle w:val="Compact"/>
            </w:pPr>
            <w:r>
              <w:t xml:space="preserve">Strelka2</w:t>
            </w:r>
          </w:p>
        </w:tc>
      </w:tr>
      <w:tr>
        <w:tc>
          <w:tcPr/>
          <w:p>
            <w:pPr>
              <w:pStyle w:val="Compact"/>
            </w:pPr>
            <w:r>
              <w:t xml:space="preserve">Main use</w:t>
            </w:r>
          </w:p>
        </w:tc>
        <w:tc>
          <w:tcPr/>
          <w:p>
            <w:pPr>
              <w:pStyle w:val="Compact"/>
            </w:pPr>
            <w:r>
              <w:t xml:space="preserve">Germline SNVs/indels</w:t>
            </w:r>
          </w:p>
        </w:tc>
        <w:tc>
          <w:tcPr/>
          <w:p>
            <w:pPr>
              <w:pStyle w:val="Compact"/>
            </w:pPr>
            <w:r>
              <w:t xml:space="preserve">Germline and somatic SNVs/indels</w:t>
            </w:r>
          </w:p>
        </w:tc>
      </w:tr>
      <w:tr>
        <w:tc>
          <w:tcPr/>
          <w:p>
            <w:pPr>
              <w:pStyle w:val="Compact"/>
            </w:pPr>
            <w:r>
              <w:t xml:space="preserve">Core strategy</w:t>
            </w:r>
          </w:p>
        </w:tc>
        <w:tc>
          <w:tcPr/>
          <w:p>
            <w:pPr>
              <w:pStyle w:val="Compact"/>
            </w:pPr>
            <w:r>
              <w:t xml:space="preserve">Local assembly + PairHMM</w:t>
            </w:r>
          </w:p>
        </w:tc>
        <w:tc>
          <w:tcPr/>
          <w:p>
            <w:pPr>
              <w:pStyle w:val="Compact"/>
            </w:pPr>
            <w:r>
              <w:t xml:space="preserve">Probabilistic read evidence model</w:t>
            </w:r>
          </w:p>
        </w:tc>
      </w:tr>
      <w:tr>
        <w:tc>
          <w:tcPr/>
          <w:p>
            <w:pPr>
              <w:pStyle w:val="Compact"/>
            </w:pPr>
            <w:r>
              <w:t xml:space="preserve">Strength</w:t>
            </w:r>
          </w:p>
        </w:tc>
        <w:tc>
          <w:tcPr/>
          <w:p>
            <w:pPr>
              <w:pStyle w:val="Compact"/>
            </w:pPr>
            <w:r>
              <w:t xml:space="preserve">Robust haplotype reconstruction, indels</w:t>
            </w:r>
          </w:p>
        </w:tc>
        <w:tc>
          <w:tcPr/>
          <w:p>
            <w:pPr>
              <w:pStyle w:val="Compact"/>
            </w:pPr>
            <w:r>
              <w:t xml:space="preserve">Fast, sensitive, strong small variant calling</w:t>
            </w:r>
          </w:p>
        </w:tc>
      </w:tr>
      <w:tr>
        <w:tc>
          <w:tcPr/>
          <w:p>
            <w:pPr>
              <w:pStyle w:val="Compact"/>
            </w:pPr>
            <w:r>
              <w:t xml:space="preserve">Computational cost</w:t>
            </w:r>
          </w:p>
        </w:tc>
        <w:tc>
          <w:tcPr/>
          <w:p>
            <w:pPr>
              <w:pStyle w:val="Compact"/>
            </w:pPr>
            <w:r>
              <w:t xml:space="preserve">Higher</w:t>
            </w:r>
          </w:p>
        </w:tc>
        <w:tc>
          <w:tcPr/>
          <w:p>
            <w:pPr>
              <w:pStyle w:val="Compact"/>
            </w:pPr>
            <w:r>
              <w:t xml:space="preserve">Lower</w:t>
            </w:r>
          </w:p>
        </w:tc>
      </w:tr>
      <w:tr>
        <w:tc>
          <w:tcPr/>
          <w:p>
            <w:pPr>
              <w:pStyle w:val="Compact"/>
            </w:pPr>
            <w:r>
              <w:t xml:space="preserve">Philosophy</w:t>
            </w:r>
          </w:p>
        </w:tc>
        <w:tc>
          <w:tcPr/>
          <w:p>
            <w:pPr>
              <w:pStyle w:val="Compact"/>
            </w:pPr>
            <w:r>
              <w:t xml:space="preserve">Reconstruct local haplotypes</w:t>
            </w:r>
          </w:p>
        </w:tc>
        <w:tc>
          <w:tcPr/>
          <w:p>
            <w:pPr>
              <w:pStyle w:val="Compact"/>
            </w:pPr>
            <w:r>
              <w:t xml:space="preserve">Model evidence efficiently</w:t>
            </w:r>
          </w:p>
        </w:tc>
      </w:tr>
    </w:tbl>
    <w:bookmarkStart w:id="64" w:name="gatk"/>
    <w:p>
      <w:pPr>
        <w:pStyle w:val="Heading3"/>
      </w:pPr>
      <w:r>
        <w:t xml:space="preserve">GATK</w:t>
      </w:r>
    </w:p>
    <w:p>
      <w:pPr>
        <w:pStyle w:val="FirstParagraph"/>
      </w:pPr>
      <w:r>
        <w:t xml:space="preserve">GATK does:</w:t>
      </w:r>
    </w:p>
    <w:p>
      <w:pPr>
        <w:pStyle w:val="SourceCode"/>
      </w:pPr>
      <w:r>
        <w:rPr>
          <w:rStyle w:val="VerbatimChar"/>
        </w:rPr>
        <w:t xml:space="preserve">Reads</w:t>
      </w:r>
      <w:r>
        <w:br/>
      </w:r>
      <w:r>
        <w:rPr>
          <w:rStyle w:val="VerbatimChar"/>
        </w:rPr>
        <w:t xml:space="preserve">↓</w:t>
      </w:r>
      <w:r>
        <w:br/>
      </w:r>
      <w:r>
        <w:rPr>
          <w:rStyle w:val="VerbatimChar"/>
        </w:rPr>
        <w:t xml:space="preserve">active region detection</w:t>
      </w:r>
      <w:r>
        <w:br/>
      </w:r>
      <w:r>
        <w:rPr>
          <w:rStyle w:val="VerbatimChar"/>
        </w:rPr>
        <w:t xml:space="preserve">↓</w:t>
      </w:r>
      <w:r>
        <w:br/>
      </w:r>
      <w:r>
        <w:rPr>
          <w:rStyle w:val="VerbatimChar"/>
        </w:rPr>
        <w:t xml:space="preserve">local assembly using de Bruijn graph</w:t>
      </w:r>
      <w:r>
        <w:br/>
      </w:r>
      <w:r>
        <w:rPr>
          <w:rStyle w:val="VerbatimChar"/>
        </w:rPr>
        <w:t xml:space="preserve">↓</w:t>
      </w:r>
      <w:r>
        <w:br/>
      </w:r>
      <w:r>
        <w:rPr>
          <w:rStyle w:val="VerbatimChar"/>
        </w:rPr>
        <w:t xml:space="preserve">candidate haplotypes</w:t>
      </w:r>
      <w:r>
        <w:br/>
      </w:r>
      <w:r>
        <w:rPr>
          <w:rStyle w:val="VerbatimChar"/>
        </w:rPr>
        <w:t xml:space="preserve">↓</w:t>
      </w:r>
      <w:r>
        <w:br/>
      </w:r>
      <w:r>
        <w:rPr>
          <w:rStyle w:val="VerbatimChar"/>
        </w:rPr>
        <w:t xml:space="preserve">PairHMM read-haplotype likelihoods</w:t>
      </w:r>
      <w:r>
        <w:br/>
      </w:r>
      <w:r>
        <w:rPr>
          <w:rStyle w:val="VerbatimChar"/>
        </w:rPr>
        <w:t xml:space="preserve">↓</w:t>
      </w:r>
      <w:r>
        <w:br/>
      </w:r>
      <w:r>
        <w:rPr>
          <w:rStyle w:val="VerbatimChar"/>
        </w:rPr>
        <w:t xml:space="preserve">Bayesian genotype calling</w:t>
      </w:r>
    </w:p>
    <w:bookmarkEnd w:id="64"/>
    <w:bookmarkStart w:id="65" w:name="strelka2"/>
    <w:p>
      <w:pPr>
        <w:pStyle w:val="Heading3"/>
      </w:pPr>
      <w:r>
        <w:t xml:space="preserve">Strelka2</w:t>
      </w:r>
    </w:p>
    <w:p>
      <w:pPr>
        <w:pStyle w:val="FirstParagraph"/>
      </w:pPr>
      <w:r>
        <w:t xml:space="preserve">Strelka does:</w:t>
      </w:r>
    </w:p>
    <w:p>
      <w:pPr>
        <w:pStyle w:val="SourceCode"/>
      </w:pPr>
      <w:r>
        <w:rPr>
          <w:rStyle w:val="VerbatimChar"/>
        </w:rPr>
        <w:t xml:space="preserve">Reads</w:t>
      </w:r>
      <w:r>
        <w:br/>
      </w:r>
      <w:r>
        <w:rPr>
          <w:rStyle w:val="VerbatimChar"/>
        </w:rPr>
        <w:t xml:space="preserve">↓</w:t>
      </w:r>
      <w:r>
        <w:br/>
      </w:r>
      <w:r>
        <w:rPr>
          <w:rStyle w:val="VerbatimChar"/>
        </w:rPr>
        <w:t xml:space="preserve">probabilistic model of evidence</w:t>
      </w:r>
      <w:r>
        <w:br/>
      </w:r>
      <w:r>
        <w:rPr>
          <w:rStyle w:val="VerbatimChar"/>
        </w:rPr>
        <w:t xml:space="preserve">↓</w:t>
      </w:r>
      <w:r>
        <w:br/>
      </w:r>
      <w:r>
        <w:rPr>
          <w:rStyle w:val="VerbatimChar"/>
        </w:rPr>
        <w:t xml:space="preserve">genotype likelihoods</w:t>
      </w:r>
      <w:r>
        <w:br/>
      </w:r>
      <w:r>
        <w:rPr>
          <w:rStyle w:val="VerbatimChar"/>
        </w:rPr>
        <w:t xml:space="preserve">↓</w:t>
      </w:r>
      <w:r>
        <w:br/>
      </w:r>
      <w:r>
        <w:rPr>
          <w:rStyle w:val="VerbatimChar"/>
        </w:rPr>
        <w:t xml:space="preserve">Bayesian posterior</w:t>
      </w:r>
      <w:r>
        <w:br/>
      </w:r>
      <w:r>
        <w:rPr>
          <w:rStyle w:val="VerbatimChar"/>
        </w:rPr>
        <w:t xml:space="preserve">↓</w:t>
      </w:r>
      <w:r>
        <w:br/>
      </w:r>
      <w:r>
        <w:rPr>
          <w:rStyle w:val="VerbatimChar"/>
        </w:rPr>
        <w:t xml:space="preserve">variant call</w:t>
      </w:r>
    </w:p>
    <w:bookmarkEnd w:id="65"/>
    <w:bookmarkStart w:id="66" w:name="why-compare-both"/>
    <w:p>
      <w:pPr>
        <w:pStyle w:val="Heading3"/>
      </w:pPr>
      <w:r>
        <w:t xml:space="preserve">Why compare both?</w:t>
      </w:r>
    </w:p>
    <w:p>
      <w:pPr>
        <w:pStyle w:val="FirstParagraph"/>
      </w:pPr>
      <w:r>
        <w:t xml:space="preserve">Because caller disagreements reveal algorithm sensitivity.</w:t>
      </w:r>
    </w:p>
    <w:p>
      <w:pPr>
        <w:pStyle w:val="BodyText"/>
      </w:pPr>
      <w:r>
        <w:t xml:space="preserve">If both callers agree, confidence increases.</w:t>
      </w:r>
    </w:p>
    <w:p>
      <w:pPr>
        <w:pStyle w:val="BodyText"/>
      </w:pPr>
      <w:r>
        <w:t xml:space="preserve">If they disagree, check:</w:t>
      </w:r>
    </w:p>
    <w:p>
      <w:pPr>
        <w:pStyle w:val="Compact"/>
        <w:numPr>
          <w:ilvl w:val="0"/>
          <w:numId w:val="1011"/>
        </w:numPr>
      </w:pPr>
      <w:r>
        <w:t xml:space="preserve">depth</w:t>
      </w:r>
    </w:p>
    <w:p>
      <w:pPr>
        <w:pStyle w:val="Compact"/>
        <w:numPr>
          <w:ilvl w:val="0"/>
          <w:numId w:val="1011"/>
        </w:numPr>
      </w:pPr>
      <w:r>
        <w:t xml:space="preserve">allele balance</w:t>
      </w:r>
    </w:p>
    <w:p>
      <w:pPr>
        <w:pStyle w:val="Compact"/>
        <w:numPr>
          <w:ilvl w:val="0"/>
          <w:numId w:val="1011"/>
        </w:numPr>
      </w:pPr>
      <w:r>
        <w:t xml:space="preserve">mapping quality</w:t>
      </w:r>
    </w:p>
    <w:p>
      <w:pPr>
        <w:pStyle w:val="Compact"/>
        <w:numPr>
          <w:ilvl w:val="0"/>
          <w:numId w:val="1011"/>
        </w:numPr>
      </w:pPr>
      <w:r>
        <w:t xml:space="preserve">repeat context</w:t>
      </w:r>
    </w:p>
    <w:p>
      <w:pPr>
        <w:pStyle w:val="Compact"/>
        <w:numPr>
          <w:ilvl w:val="0"/>
          <w:numId w:val="1011"/>
        </w:numPr>
      </w:pPr>
      <w:r>
        <w:t xml:space="preserve">indel representation</w:t>
      </w:r>
    </w:p>
    <w:p>
      <w:pPr>
        <w:pStyle w:val="Compact"/>
        <w:numPr>
          <w:ilvl w:val="0"/>
          <w:numId w:val="1011"/>
        </w:numPr>
      </w:pPr>
      <w:r>
        <w:t xml:space="preserve">strand bias</w:t>
      </w:r>
    </w:p>
    <w:p>
      <w:pPr>
        <w:pStyle w:val="Compact"/>
        <w:numPr>
          <w:ilvl w:val="0"/>
          <w:numId w:val="1011"/>
        </w:numPr>
      </w:pPr>
      <w:r>
        <w:t xml:space="preserve">caller-specific filtering</w:t>
      </w:r>
    </w:p>
    <w:p>
      <w:pPr>
        <w:pStyle w:val="FirstParagraph"/>
      </w:pPr>
      <w:r>
        <w:t xml:space="preserve">Interview answer:</w:t>
      </w:r>
    </w:p>
    <w:p>
      <w:pPr>
        <w:pStyle w:val="BlockText"/>
      </w:pPr>
      <w:r>
        <w:t xml:space="preserve">GATK relies heavily on local assembly to reconstruct haplotypes, while Strelka2 uses an efficient probabilistic model of read evidence. Comparing them tests whether calls are robust to algorithmic assumptions.</w:t>
      </w:r>
    </w:p>
    <w:p>
      <w:r>
        <w:pict>
          <v:rect style="width:0;height:1.5pt" o:hralign="center" o:hrstd="t" o:hr="t"/>
        </w:pict>
      </w:r>
    </w:p>
    <w:bookmarkEnd w:id="66"/>
    <w:bookmarkEnd w:id="67"/>
    <w:bookmarkStart w:id="72" w:name="X498bdf082386243d982d5b3d8e412be25924e5b"/>
    <w:p>
      <w:pPr>
        <w:pStyle w:val="Heading2"/>
      </w:pPr>
      <w:r>
        <w:t xml:space="preserve">15. Strelka priors and posterior probabilities</w:t>
      </w:r>
    </w:p>
    <w:p>
      <w:pPr>
        <w:pStyle w:val="FirstParagraph"/>
      </w:pPr>
      <w:r>
        <w:t xml:space="preserve">Strelka is not purely maximum likelihood.</w:t>
      </w:r>
    </w:p>
    <w:p>
      <w:pPr>
        <w:pStyle w:val="BodyText"/>
      </w:pPr>
      <w:r>
        <w:t xml:space="preserve">It is Bayesian / MAP-style.</w:t>
      </w:r>
    </w:p>
    <w:p>
      <w:pPr>
        <w:pStyle w:val="BodyText"/>
      </w:pPr>
      <w:r>
        <w:t xml:space="preserve">It evaluates:</w:t>
      </w:r>
    </w:p>
    <w:p>
      <w:pPr>
        <w:pStyle w:val="SourceCode"/>
      </w:pPr>
      <w:r>
        <w:rPr>
          <w:rStyle w:val="VerbatimChar"/>
        </w:rPr>
        <w:t xml:space="preserve">posterior ∝ likelihood × prior</w:t>
      </w:r>
    </w:p>
    <w:p>
      <w:pPr>
        <w:pStyle w:val="FirstParagraph"/>
      </w:pPr>
      <w:r>
        <w:t xml:space="preserve">Rough equation:</w:t>
      </w:r>
    </w:p>
    <w:p>
      <w:pPr>
        <w:pStyle w:val="SourceCode"/>
      </w:pPr>
      <w:r>
        <w:rPr>
          <w:rStyle w:val="VerbatimChar"/>
        </w:rPr>
        <w:t xml:space="preserve">P(G | D) = P(D | G) P(G) / P(D)</w:t>
      </w:r>
    </w:p>
    <w:p>
      <w:pPr>
        <w:pStyle w:val="FirstParagraph"/>
      </w:pPr>
      <w:r>
        <w:t xml:space="preserve">Where:</w:t>
      </w:r>
    </w:p>
    <w:p>
      <w:pPr>
        <w:pStyle w:val="Compact"/>
        <w:numPr>
          <w:ilvl w:val="0"/>
          <w:numId w:val="1012"/>
        </w:numPr>
      </w:pPr>
      <w:r>
        <w:t xml:space="preserve">G = genotype</w:t>
      </w:r>
    </w:p>
    <w:p>
      <w:pPr>
        <w:pStyle w:val="Compact"/>
        <w:numPr>
          <w:ilvl w:val="0"/>
          <w:numId w:val="1012"/>
        </w:numPr>
      </w:pPr>
      <w:r>
        <w:t xml:space="preserve">D = observed sequencing data</w:t>
      </w:r>
    </w:p>
    <w:p>
      <w:pPr>
        <w:pStyle w:val="Compact"/>
        <w:numPr>
          <w:ilvl w:val="0"/>
          <w:numId w:val="1012"/>
        </w:numPr>
      </w:pPr>
      <w:r>
        <w:t xml:space="preserve">P(G) = genotype prior</w:t>
      </w:r>
    </w:p>
    <w:p>
      <w:pPr>
        <w:pStyle w:val="Compact"/>
        <w:numPr>
          <w:ilvl w:val="0"/>
          <w:numId w:val="1012"/>
        </w:numPr>
      </w:pPr>
      <w:r>
        <w:t xml:space="preserve">P(D|G) = likelihood of reads given genotype</w:t>
      </w:r>
    </w:p>
    <w:p>
      <w:pPr>
        <w:pStyle w:val="Compact"/>
        <w:numPr>
          <w:ilvl w:val="0"/>
          <w:numId w:val="1012"/>
        </w:numPr>
      </w:pPr>
      <w:r>
        <w:t xml:space="preserve">P(G|D) = posterior genotype probability</w:t>
      </w:r>
    </w:p>
    <w:bookmarkStart w:id="68" w:name="prior"/>
    <w:p>
      <w:pPr>
        <w:pStyle w:val="Heading3"/>
      </w:pPr>
      <w:r>
        <w:t xml:space="preserve">Prior</w:t>
      </w:r>
    </w:p>
    <w:p>
      <w:pPr>
        <w:pStyle w:val="FirstParagraph"/>
      </w:pPr>
      <w:r>
        <w:t xml:space="preserve">Before seeing reads, most sites are expected to be homozygous reference.</w:t>
      </w:r>
    </w:p>
    <w:p>
      <w:pPr>
        <w:pStyle w:val="BodyText"/>
      </w:pPr>
      <w:r>
        <w:t xml:space="preserve">Conceptually:</w:t>
      </w:r>
    </w:p>
    <w:p>
      <w:pPr>
        <w:pStyle w:val="SourceCode"/>
      </w:pPr>
      <w:r>
        <w:rPr>
          <w:rStyle w:val="VerbatimChar"/>
        </w:rPr>
        <w:t xml:space="preserve">P(AA) &gt;&gt; P(AB) &gt; P(BB)</w:t>
      </w:r>
    </w:p>
    <w:bookmarkEnd w:id="68"/>
    <w:bookmarkStart w:id="69" w:name="likelihood"/>
    <w:p>
      <w:pPr>
        <w:pStyle w:val="Heading3"/>
      </w:pPr>
      <w:r>
        <w:t xml:space="preserve">Likelihood</w:t>
      </w:r>
    </w:p>
    <w:p>
      <w:pPr>
        <w:pStyle w:val="FirstParagraph"/>
      </w:pPr>
      <w:r>
        <w:t xml:space="preserve">Uses evidence such as:</w:t>
      </w:r>
    </w:p>
    <w:p>
      <w:pPr>
        <w:pStyle w:val="Compact"/>
        <w:numPr>
          <w:ilvl w:val="0"/>
          <w:numId w:val="1013"/>
        </w:numPr>
      </w:pPr>
      <w:r>
        <w:t xml:space="preserve">base qualities</w:t>
      </w:r>
    </w:p>
    <w:p>
      <w:pPr>
        <w:pStyle w:val="Compact"/>
        <w:numPr>
          <w:ilvl w:val="0"/>
          <w:numId w:val="1013"/>
        </w:numPr>
      </w:pPr>
      <w:r>
        <w:t xml:space="preserve">mapping qualities</w:t>
      </w:r>
    </w:p>
    <w:p>
      <w:pPr>
        <w:pStyle w:val="Compact"/>
        <w:numPr>
          <w:ilvl w:val="0"/>
          <w:numId w:val="1013"/>
        </w:numPr>
      </w:pPr>
      <w:r>
        <w:t xml:space="preserve">allele counts</w:t>
      </w:r>
    </w:p>
    <w:p>
      <w:pPr>
        <w:pStyle w:val="Compact"/>
        <w:numPr>
          <w:ilvl w:val="0"/>
          <w:numId w:val="1013"/>
        </w:numPr>
      </w:pPr>
      <w:r>
        <w:t xml:space="preserve">strand information</w:t>
      </w:r>
    </w:p>
    <w:p>
      <w:pPr>
        <w:pStyle w:val="Compact"/>
        <w:numPr>
          <w:ilvl w:val="0"/>
          <w:numId w:val="1013"/>
        </w:numPr>
      </w:pPr>
      <w:r>
        <w:t xml:space="preserve">read position</w:t>
      </w:r>
    </w:p>
    <w:p>
      <w:pPr>
        <w:pStyle w:val="Compact"/>
        <w:numPr>
          <w:ilvl w:val="0"/>
          <w:numId w:val="1013"/>
        </w:numPr>
      </w:pPr>
      <w:r>
        <w:t xml:space="preserve">sequencing error model</w:t>
      </w:r>
    </w:p>
    <w:p>
      <w:pPr>
        <w:pStyle w:val="FirstParagraph"/>
      </w:pPr>
      <w:r>
        <w:t xml:space="preserve">Example:</w:t>
      </w:r>
    </w:p>
    <w:p>
      <w:pPr>
        <w:pStyle w:val="BodyText"/>
      </w:pPr>
      <w:r>
        <w:t xml:space="preserve">Observed:</w:t>
      </w:r>
    </w:p>
    <w:p>
      <w:pPr>
        <w:pStyle w:val="SourceCode"/>
      </w:pPr>
      <w:r>
        <w:rPr>
          <w:rStyle w:val="VerbatimChar"/>
        </w:rPr>
        <w:t xml:space="preserve">20 reads:</w:t>
      </w:r>
      <w:r>
        <w:br/>
      </w:r>
      <w:r>
        <w:rPr>
          <w:rStyle w:val="VerbatimChar"/>
        </w:rPr>
        <w:t xml:space="preserve">10 A</w:t>
      </w:r>
      <w:r>
        <w:br/>
      </w:r>
      <w:r>
        <w:rPr>
          <w:rStyle w:val="VerbatimChar"/>
        </w:rPr>
        <w:t xml:space="preserve">10 G</w:t>
      </w:r>
    </w:p>
    <w:p>
      <w:pPr>
        <w:pStyle w:val="FirstParagraph"/>
      </w:pPr>
      <w:r>
        <w:t xml:space="preserve">Genotype likelihoods:</w:t>
      </w:r>
    </w:p>
    <w:p>
      <w:pPr>
        <w:pStyle w:val="SourceCode"/>
      </w:pPr>
      <w:r>
        <w:rPr>
          <w:rStyle w:val="VerbatimChar"/>
        </w:rPr>
        <w:t xml:space="preserve">A/A = low</w:t>
      </w:r>
      <w:r>
        <w:br/>
      </w:r>
      <w:r>
        <w:rPr>
          <w:rStyle w:val="VerbatimChar"/>
        </w:rPr>
        <w:t xml:space="preserve">A/G = high</w:t>
      </w:r>
      <w:r>
        <w:br/>
      </w:r>
      <w:r>
        <w:rPr>
          <w:rStyle w:val="VerbatimChar"/>
        </w:rPr>
        <w:t xml:space="preserve">G/G = low</w:t>
      </w:r>
    </w:p>
    <w:bookmarkEnd w:id="69"/>
    <w:bookmarkStart w:id="70" w:name="posterior"/>
    <w:p>
      <w:pPr>
        <w:pStyle w:val="Heading3"/>
      </w:pPr>
      <w:r>
        <w:t xml:space="preserve">Posterior</w:t>
      </w:r>
    </w:p>
    <w:p>
      <w:pPr>
        <w:pStyle w:val="FirstParagraph"/>
      </w:pPr>
      <w:r>
        <w:t xml:space="preserve">Multiply likelihood by prior and normalize.</w:t>
      </w:r>
    </w:p>
    <w:p>
      <w:pPr>
        <w:pStyle w:val="BodyText"/>
      </w:pPr>
      <w:r>
        <w:t xml:space="preserve">The genotype with highest posterior is selected.</w:t>
      </w:r>
    </w:p>
    <w:bookmarkEnd w:id="70"/>
    <w:bookmarkStart w:id="71" w:name="mle-vs-map"/>
    <w:p>
      <w:pPr>
        <w:pStyle w:val="Heading3"/>
      </w:pPr>
      <w:r>
        <w:t xml:space="preserve">MLE vs MAP</w:t>
      </w:r>
    </w:p>
    <w:p>
      <w:pPr>
        <w:pStyle w:val="FirstParagraph"/>
      </w:pPr>
      <w:r>
        <w:t xml:space="preserve">Maximum likelihood:</w:t>
      </w:r>
    </w:p>
    <w:p>
      <w:pPr>
        <w:pStyle w:val="SourceCode"/>
      </w:pPr>
      <w:r>
        <w:rPr>
          <w:rStyle w:val="VerbatimChar"/>
        </w:rPr>
        <w:t xml:space="preserve">argmax P(D | G)</w:t>
      </w:r>
    </w:p>
    <w:p>
      <w:pPr>
        <w:pStyle w:val="FirstParagraph"/>
      </w:pPr>
      <w:r>
        <w:t xml:space="preserve">MAP / Bayesian:</w:t>
      </w:r>
    </w:p>
    <w:p>
      <w:pPr>
        <w:pStyle w:val="SourceCode"/>
      </w:pPr>
      <w:r>
        <w:rPr>
          <w:rStyle w:val="VerbatimChar"/>
        </w:rPr>
        <w:t xml:space="preserve">argmax P(G | D)</w:t>
      </w:r>
    </w:p>
    <w:p>
      <w:pPr>
        <w:pStyle w:val="FirstParagraph"/>
      </w:pPr>
      <w:r>
        <w:t xml:space="preserve">If priors are equal, MAP becomes equivalent to MLE.</w:t>
      </w:r>
    </w:p>
    <w:p>
      <w:pPr>
        <w:pStyle w:val="BodyText"/>
      </w:pPr>
      <w:r>
        <w:t xml:space="preserve">Strelka uses likelihoods, but final decision is posterior-based.</w:t>
      </w:r>
    </w:p>
    <w:p>
      <w:r>
        <w:pict>
          <v:rect style="width:0;height:1.5pt" o:hralign="center" o:hrstd="t" o:hr="t"/>
        </w:pict>
      </w:r>
    </w:p>
    <w:bookmarkEnd w:id="71"/>
    <w:bookmarkEnd w:id="72"/>
    <w:bookmarkStart w:id="75" w:name="multiallelic-snps"/>
    <w:p>
      <w:pPr>
        <w:pStyle w:val="Heading2"/>
      </w:pPr>
      <w:r>
        <w:t xml:space="preserve">16. Multiallelic SNPs</w:t>
      </w:r>
    </w:p>
    <w:p>
      <w:pPr>
        <w:pStyle w:val="FirstParagraph"/>
      </w:pPr>
      <w:r>
        <w:t xml:space="preserve">A multiallelic SNP has more than one alternate allele.</w:t>
      </w:r>
    </w:p>
    <w:p>
      <w:pPr>
        <w:pStyle w:val="BodyText"/>
      </w:pPr>
      <w:r>
        <w:t xml:space="preserve">Example:</w:t>
      </w:r>
    </w:p>
    <w:p>
      <w:pPr>
        <w:pStyle w:val="SourceCode"/>
      </w:pPr>
      <w:r>
        <w:rPr>
          <w:rStyle w:val="VerbatimChar"/>
        </w:rPr>
        <w:t xml:space="preserve">REF = A</w:t>
      </w:r>
      <w:r>
        <w:br/>
      </w:r>
      <w:r>
        <w:rPr>
          <w:rStyle w:val="VerbatimChar"/>
        </w:rPr>
        <w:t xml:space="preserve">ALT = C,G</w:t>
      </w:r>
    </w:p>
    <w:p>
      <w:pPr>
        <w:pStyle w:val="FirstParagraph"/>
      </w:pPr>
      <w:r>
        <w:t xml:space="preserve">Possible diploid genotypes:</w:t>
      </w:r>
    </w:p>
    <w:p>
      <w:pPr>
        <w:pStyle w:val="SourceCode"/>
      </w:pPr>
      <w:r>
        <w:rPr>
          <w:rStyle w:val="VerbatimChar"/>
        </w:rPr>
        <w:t xml:space="preserve">A/A</w:t>
      </w:r>
      <w:r>
        <w:br/>
      </w:r>
      <w:r>
        <w:rPr>
          <w:rStyle w:val="VerbatimChar"/>
        </w:rPr>
        <w:t xml:space="preserve">A/C</w:t>
      </w:r>
      <w:r>
        <w:br/>
      </w:r>
      <w:r>
        <w:rPr>
          <w:rStyle w:val="VerbatimChar"/>
        </w:rPr>
        <w:t xml:space="preserve">A/G</w:t>
      </w:r>
      <w:r>
        <w:br/>
      </w:r>
      <w:r>
        <w:rPr>
          <w:rStyle w:val="VerbatimChar"/>
        </w:rPr>
        <w:t xml:space="preserve">C/C</w:t>
      </w:r>
      <w:r>
        <w:br/>
      </w:r>
      <w:r>
        <w:rPr>
          <w:rStyle w:val="VerbatimChar"/>
        </w:rPr>
        <w:t xml:space="preserve">G/G</w:t>
      </w:r>
      <w:r>
        <w:br/>
      </w:r>
      <w:r>
        <w:rPr>
          <w:rStyle w:val="VerbatimChar"/>
        </w:rPr>
        <w:t xml:space="preserve">C/G</w:t>
      </w:r>
    </w:p>
    <w:p>
      <w:pPr>
        <w:pStyle w:val="FirstParagraph"/>
      </w:pPr>
      <w:r>
        <w:t xml:space="preserve">Both GATK and Strelka can represent multiallelic sites, depending on mode/settings and evidence.</w:t>
      </w:r>
    </w:p>
    <w:bookmarkStart w:id="73" w:name="why-multiallelic-sites-are-harder"/>
    <w:p>
      <w:pPr>
        <w:pStyle w:val="Heading3"/>
      </w:pPr>
      <w:r>
        <w:t xml:space="preserve">Why multiallelic sites are harder</w:t>
      </w:r>
    </w:p>
    <w:p>
      <w:pPr>
        <w:pStyle w:val="FirstParagraph"/>
      </w:pPr>
      <w:r>
        <w:t xml:space="preserve">Genotype space expands.</w:t>
      </w:r>
    </w:p>
    <w:p>
      <w:pPr>
        <w:pStyle w:val="BodyText"/>
      </w:pPr>
      <w:r>
        <w:t xml:space="preserve">Example:</w:t>
      </w:r>
    </w:p>
    <w:p>
      <w:pPr>
        <w:pStyle w:val="SourceCode"/>
      </w:pPr>
      <w:r>
        <w:rPr>
          <w:rStyle w:val="VerbatimChar"/>
        </w:rPr>
        <w:t xml:space="preserve">100 reads:</w:t>
      </w:r>
      <w:r>
        <w:br/>
      </w:r>
      <w:r>
        <w:rPr>
          <w:rStyle w:val="VerbatimChar"/>
        </w:rPr>
        <w:t xml:space="preserve">45 A</w:t>
      </w:r>
      <w:r>
        <w:br/>
      </w:r>
      <w:r>
        <w:rPr>
          <w:rStyle w:val="VerbatimChar"/>
        </w:rPr>
        <w:t xml:space="preserve">35 C</w:t>
      </w:r>
      <w:r>
        <w:br/>
      </w:r>
      <w:r>
        <w:rPr>
          <w:rStyle w:val="VerbatimChar"/>
        </w:rPr>
        <w:t xml:space="preserve">20 G</w:t>
      </w:r>
    </w:p>
    <w:p>
      <w:pPr>
        <w:pStyle w:val="FirstParagraph"/>
      </w:pPr>
      <w:r>
        <w:t xml:space="preserve">Could be:</w:t>
      </w:r>
    </w:p>
    <w:p>
      <w:pPr>
        <w:pStyle w:val="Compact"/>
        <w:numPr>
          <w:ilvl w:val="0"/>
          <w:numId w:val="1014"/>
        </w:numPr>
      </w:pPr>
      <w:r>
        <w:t xml:space="preserve">true multiallelic site</w:t>
      </w:r>
    </w:p>
    <w:p>
      <w:pPr>
        <w:pStyle w:val="Compact"/>
        <w:numPr>
          <w:ilvl w:val="0"/>
          <w:numId w:val="1014"/>
        </w:numPr>
      </w:pPr>
      <w:r>
        <w:t xml:space="preserve">sequencing error</w:t>
      </w:r>
    </w:p>
    <w:p>
      <w:pPr>
        <w:pStyle w:val="Compact"/>
        <w:numPr>
          <w:ilvl w:val="0"/>
          <w:numId w:val="1014"/>
        </w:numPr>
      </w:pPr>
      <w:r>
        <w:t xml:space="preserve">contamination</w:t>
      </w:r>
    </w:p>
    <w:p>
      <w:pPr>
        <w:pStyle w:val="Compact"/>
        <w:numPr>
          <w:ilvl w:val="0"/>
          <w:numId w:val="1014"/>
        </w:numPr>
      </w:pPr>
      <w:r>
        <w:t xml:space="preserve">mapping artifact</w:t>
      </w:r>
    </w:p>
    <w:p>
      <w:pPr>
        <w:pStyle w:val="Compact"/>
        <w:numPr>
          <w:ilvl w:val="0"/>
          <w:numId w:val="1014"/>
        </w:numPr>
      </w:pPr>
      <w:r>
        <w:t xml:space="preserve">duplicated region</w:t>
      </w:r>
    </w:p>
    <w:p>
      <w:pPr>
        <w:pStyle w:val="Compact"/>
        <w:numPr>
          <w:ilvl w:val="0"/>
          <w:numId w:val="1014"/>
        </w:numPr>
      </w:pPr>
      <w:r>
        <w:t xml:space="preserve">mosaicism</w:t>
      </w:r>
    </w:p>
    <w:p>
      <w:pPr>
        <w:pStyle w:val="Compact"/>
        <w:numPr>
          <w:ilvl w:val="0"/>
          <w:numId w:val="1014"/>
        </w:numPr>
      </w:pPr>
      <w:r>
        <w:t xml:space="preserve">copy-number complication</w:t>
      </w:r>
    </w:p>
    <w:bookmarkEnd w:id="73"/>
    <w:bookmarkStart w:id="74" w:name="how-to-assess-validity"/>
    <w:p>
      <w:pPr>
        <w:pStyle w:val="Heading3"/>
      </w:pPr>
      <w:r>
        <w:t xml:space="preserve">How to assess validity</w:t>
      </w:r>
    </w:p>
    <w:p>
      <w:pPr>
        <w:pStyle w:val="FirstParagraph"/>
      </w:pPr>
      <w:r>
        <w:t xml:space="preserve">Check:</w:t>
      </w:r>
    </w:p>
    <w:p>
      <w:pPr>
        <w:numPr>
          <w:ilvl w:val="0"/>
          <w:numId w:val="1015"/>
        </w:numPr>
      </w:pPr>
      <w:r>
        <w:rPr>
          <w:b/>
          <w:bCs/>
        </w:rPr>
        <w:t xml:space="preserve">Allele depth</w:t>
      </w:r>
    </w:p>
    <w:p>
      <w:pPr>
        <w:pStyle w:val="Compact"/>
        <w:numPr>
          <w:ilvl w:val="1"/>
          <w:numId w:val="1016"/>
        </w:numPr>
      </w:pPr>
      <w:r>
        <w:t xml:space="preserve">Is each ALT allele supported by enough reads?</w:t>
      </w:r>
    </w:p>
    <w:p>
      <w:pPr>
        <w:numPr>
          <w:ilvl w:val="0"/>
          <w:numId w:val="1015"/>
        </w:numPr>
      </w:pPr>
      <w:r>
        <w:rPr>
          <w:b/>
          <w:bCs/>
        </w:rPr>
        <w:t xml:space="preserve">Allele balance</w:t>
      </w:r>
    </w:p>
    <w:p>
      <w:pPr>
        <w:pStyle w:val="Compact"/>
        <w:numPr>
          <w:ilvl w:val="1"/>
          <w:numId w:val="1017"/>
        </w:numPr>
      </w:pPr>
      <w:r>
        <w:t xml:space="preserve">Does the balance make biological sense?</w:t>
      </w:r>
    </w:p>
    <w:p>
      <w:pPr>
        <w:numPr>
          <w:ilvl w:val="0"/>
          <w:numId w:val="1015"/>
        </w:numPr>
      </w:pPr>
      <w:r>
        <w:rPr>
          <w:b/>
          <w:bCs/>
        </w:rPr>
        <w:t xml:space="preserve">Base quality</w:t>
      </w:r>
    </w:p>
    <w:p>
      <w:pPr>
        <w:pStyle w:val="Compact"/>
        <w:numPr>
          <w:ilvl w:val="1"/>
          <w:numId w:val="1018"/>
        </w:numPr>
      </w:pPr>
      <w:r>
        <w:t xml:space="preserve">Are ALT-supporting bases high quality?</w:t>
      </w:r>
    </w:p>
    <w:p>
      <w:pPr>
        <w:numPr>
          <w:ilvl w:val="0"/>
          <w:numId w:val="1015"/>
        </w:numPr>
      </w:pPr>
      <w:r>
        <w:rPr>
          <w:b/>
          <w:bCs/>
        </w:rPr>
        <w:t xml:space="preserve">Mapping quality</w:t>
      </w:r>
    </w:p>
    <w:p>
      <w:pPr>
        <w:pStyle w:val="Compact"/>
        <w:numPr>
          <w:ilvl w:val="1"/>
          <w:numId w:val="1019"/>
        </w:numPr>
      </w:pPr>
      <w:r>
        <w:t xml:space="preserve">Are ALT-supporting reads uniquely mapped?</w:t>
      </w:r>
    </w:p>
    <w:p>
      <w:pPr>
        <w:numPr>
          <w:ilvl w:val="0"/>
          <w:numId w:val="1015"/>
        </w:numPr>
      </w:pPr>
      <w:r>
        <w:rPr>
          <w:b/>
          <w:bCs/>
        </w:rPr>
        <w:t xml:space="preserve">Strand balance</w:t>
      </w:r>
    </w:p>
    <w:p>
      <w:pPr>
        <w:pStyle w:val="Compact"/>
        <w:numPr>
          <w:ilvl w:val="1"/>
          <w:numId w:val="1020"/>
        </w:numPr>
      </w:pPr>
      <w:r>
        <w:t xml:space="preserve">Is each ALT seen on both strands?</w:t>
      </w:r>
    </w:p>
    <w:p>
      <w:pPr>
        <w:numPr>
          <w:ilvl w:val="0"/>
          <w:numId w:val="1015"/>
        </w:numPr>
      </w:pPr>
      <w:r>
        <w:rPr>
          <w:b/>
          <w:bCs/>
        </w:rPr>
        <w:t xml:space="preserve">Read position</w:t>
      </w:r>
    </w:p>
    <w:p>
      <w:pPr>
        <w:pStyle w:val="Compact"/>
        <w:numPr>
          <w:ilvl w:val="1"/>
          <w:numId w:val="1021"/>
        </w:numPr>
      </w:pPr>
      <w:r>
        <w:t xml:space="preserve">Are ALT alleles only at read ends?</w:t>
      </w:r>
    </w:p>
    <w:p>
      <w:pPr>
        <w:numPr>
          <w:ilvl w:val="0"/>
          <w:numId w:val="1015"/>
        </w:numPr>
      </w:pPr>
      <w:r>
        <w:rPr>
          <w:b/>
          <w:bCs/>
        </w:rPr>
        <w:t xml:space="preserve">Genomic context</w:t>
      </w:r>
    </w:p>
    <w:p>
      <w:pPr>
        <w:pStyle w:val="Compact"/>
        <w:numPr>
          <w:ilvl w:val="1"/>
          <w:numId w:val="1022"/>
        </w:numPr>
      </w:pPr>
      <w:r>
        <w:t xml:space="preserve">Is the site in repeats, segdups, pseudogenes, low-mappability regions?</w:t>
      </w:r>
    </w:p>
    <w:p>
      <w:pPr>
        <w:numPr>
          <w:ilvl w:val="0"/>
          <w:numId w:val="1015"/>
        </w:numPr>
      </w:pPr>
      <w:r>
        <w:rPr>
          <w:b/>
          <w:bCs/>
        </w:rPr>
        <w:t xml:space="preserve">Caller concordance</w:t>
      </w:r>
    </w:p>
    <w:p>
      <w:pPr>
        <w:pStyle w:val="Compact"/>
        <w:numPr>
          <w:ilvl w:val="1"/>
          <w:numId w:val="1023"/>
        </w:numPr>
      </w:pPr>
      <w:r>
        <w:t xml:space="preserve">Do GATK and Strelka agree?</w:t>
      </w:r>
    </w:p>
    <w:p>
      <w:pPr>
        <w:numPr>
          <w:ilvl w:val="0"/>
          <w:numId w:val="1015"/>
        </w:numPr>
      </w:pPr>
      <w:r>
        <w:rPr>
          <w:b/>
          <w:bCs/>
        </w:rPr>
        <w:t xml:space="preserve">Biological plausibility</w:t>
      </w:r>
    </w:p>
    <w:p>
      <w:pPr>
        <w:pStyle w:val="Compact"/>
        <w:numPr>
          <w:ilvl w:val="1"/>
          <w:numId w:val="1024"/>
        </w:numPr>
      </w:pPr>
      <w:r>
        <w:t xml:space="preserve">In a single diploid germline sample, three strong alleles are unusual.</w:t>
      </w:r>
    </w:p>
    <w:p>
      <w:pPr>
        <w:pStyle w:val="Compact"/>
        <w:numPr>
          <w:ilvl w:val="1"/>
          <w:numId w:val="1024"/>
        </w:numPr>
      </w:pPr>
      <w:r>
        <w:t xml:space="preserve">In a cohort joint callset, multiallelic sites are common.</w:t>
      </w:r>
    </w:p>
    <w:p>
      <w:pPr>
        <w:pStyle w:val="FirstParagraph"/>
      </w:pPr>
      <w:r>
        <w:t xml:space="preserve">Interview answer:</w:t>
      </w:r>
    </w:p>
    <w:p>
      <w:pPr>
        <w:pStyle w:val="BlockText"/>
      </w:pPr>
      <w:r>
        <w:t xml:space="preserve">I would validate each ALT allele independently using allele depth, base quality, mapping quality, strand balance, read position, genomic context, and caller concordance. I would also ask whether the multiallelic pattern is biologically plausible for the sample type.</w:t>
      </w:r>
    </w:p>
    <w:p>
      <w:r>
        <w:pict>
          <v:rect style="width:0;height:1.5pt" o:hralign="center" o:hrstd="t" o:hr="t"/>
        </w:pict>
      </w:r>
    </w:p>
    <w:bookmarkEnd w:id="74"/>
    <w:bookmarkEnd w:id="75"/>
    <w:bookmarkStart w:id="76" w:name="practical-interview-framework"/>
    <w:p>
      <w:pPr>
        <w:pStyle w:val="Heading2"/>
      </w:pPr>
      <w:r>
        <w:t xml:space="preserve">17. Practical interview framework</w:t>
      </w:r>
    </w:p>
    <w:p>
      <w:pPr>
        <w:pStyle w:val="FirstParagraph"/>
      </w:pPr>
      <w:r>
        <w:t xml:space="preserve">When asked about an unexpected variant call, walk through:</w:t>
      </w:r>
    </w:p>
    <w:p>
      <w:pPr>
        <w:numPr>
          <w:ilvl w:val="0"/>
          <w:numId w:val="1025"/>
        </w:numPr>
      </w:pPr>
      <w:r>
        <w:rPr>
          <w:b/>
          <w:bCs/>
        </w:rPr>
        <w:t xml:space="preserve">Coverage</w:t>
      </w:r>
    </w:p>
    <w:p>
      <w:pPr>
        <w:pStyle w:val="Compact"/>
        <w:numPr>
          <w:ilvl w:val="1"/>
          <w:numId w:val="1026"/>
        </w:numPr>
      </w:pPr>
      <w:r>
        <w:t xml:space="preserve">Is there enough depth?</w:t>
      </w:r>
    </w:p>
    <w:p>
      <w:pPr>
        <w:numPr>
          <w:ilvl w:val="0"/>
          <w:numId w:val="1025"/>
        </w:numPr>
      </w:pPr>
      <w:r>
        <w:rPr>
          <w:b/>
          <w:bCs/>
        </w:rPr>
        <w:t xml:space="preserve">Allele balance</w:t>
      </w:r>
    </w:p>
    <w:p>
      <w:pPr>
        <w:pStyle w:val="Compact"/>
        <w:numPr>
          <w:ilvl w:val="1"/>
          <w:numId w:val="1027"/>
        </w:numPr>
      </w:pPr>
      <w:r>
        <w:t xml:space="preserve">Does the observed fraction match expected genotype?</w:t>
      </w:r>
    </w:p>
    <w:p>
      <w:pPr>
        <w:numPr>
          <w:ilvl w:val="0"/>
          <w:numId w:val="1025"/>
        </w:numPr>
      </w:pPr>
      <w:r>
        <w:rPr>
          <w:b/>
          <w:bCs/>
        </w:rPr>
        <w:t xml:space="preserve">Base quality</w:t>
      </w:r>
    </w:p>
    <w:p>
      <w:pPr>
        <w:pStyle w:val="Compact"/>
        <w:numPr>
          <w:ilvl w:val="1"/>
          <w:numId w:val="1028"/>
        </w:numPr>
      </w:pPr>
      <w:r>
        <w:t xml:space="preserve">Are variant bases high confidence?</w:t>
      </w:r>
    </w:p>
    <w:p>
      <w:pPr>
        <w:numPr>
          <w:ilvl w:val="0"/>
          <w:numId w:val="1025"/>
        </w:numPr>
      </w:pPr>
      <w:r>
        <w:rPr>
          <w:b/>
          <w:bCs/>
        </w:rPr>
        <w:t xml:space="preserve">Mapping quality</w:t>
      </w:r>
    </w:p>
    <w:p>
      <w:pPr>
        <w:pStyle w:val="Compact"/>
        <w:numPr>
          <w:ilvl w:val="1"/>
          <w:numId w:val="1029"/>
        </w:numPr>
      </w:pPr>
      <w:r>
        <w:t xml:space="preserve">Are reads uniquely placed?</w:t>
      </w:r>
    </w:p>
    <w:p>
      <w:pPr>
        <w:numPr>
          <w:ilvl w:val="0"/>
          <w:numId w:val="1025"/>
        </w:numPr>
      </w:pPr>
      <w:r>
        <w:rPr>
          <w:b/>
          <w:bCs/>
        </w:rPr>
        <w:t xml:space="preserve">Strand balance</w:t>
      </w:r>
    </w:p>
    <w:p>
      <w:pPr>
        <w:pStyle w:val="Compact"/>
        <w:numPr>
          <w:ilvl w:val="1"/>
          <w:numId w:val="1030"/>
        </w:numPr>
      </w:pPr>
      <w:r>
        <w:t xml:space="preserve">ALT on both strands?</w:t>
      </w:r>
    </w:p>
    <w:p>
      <w:pPr>
        <w:numPr>
          <w:ilvl w:val="0"/>
          <w:numId w:val="1025"/>
        </w:numPr>
      </w:pPr>
      <w:r>
        <w:rPr>
          <w:b/>
          <w:bCs/>
        </w:rPr>
        <w:t xml:space="preserve">Mate-pair behavior</w:t>
      </w:r>
    </w:p>
    <w:p>
      <w:pPr>
        <w:pStyle w:val="Compact"/>
        <w:numPr>
          <w:ilvl w:val="1"/>
          <w:numId w:val="1031"/>
        </w:numPr>
      </w:pPr>
      <w:r>
        <w:t xml:space="preserve">Proper pairs? Expected insert size? Same chromosome?</w:t>
      </w:r>
    </w:p>
    <w:p>
      <w:pPr>
        <w:numPr>
          <w:ilvl w:val="0"/>
          <w:numId w:val="1025"/>
        </w:numPr>
      </w:pPr>
      <w:r>
        <w:rPr>
          <w:b/>
          <w:bCs/>
        </w:rPr>
        <w:t xml:space="preserve">Read position</w:t>
      </w:r>
    </w:p>
    <w:p>
      <w:pPr>
        <w:pStyle w:val="Compact"/>
        <w:numPr>
          <w:ilvl w:val="1"/>
          <w:numId w:val="1032"/>
        </w:numPr>
      </w:pPr>
      <w:r>
        <w:t xml:space="preserve">ALT near read ends?</w:t>
      </w:r>
    </w:p>
    <w:p>
      <w:pPr>
        <w:numPr>
          <w:ilvl w:val="0"/>
          <w:numId w:val="1025"/>
        </w:numPr>
      </w:pPr>
      <w:r>
        <w:rPr>
          <w:b/>
          <w:bCs/>
        </w:rPr>
        <w:t xml:space="preserve">Context</w:t>
      </w:r>
    </w:p>
    <w:p>
      <w:pPr>
        <w:pStyle w:val="Compact"/>
        <w:numPr>
          <w:ilvl w:val="1"/>
          <w:numId w:val="1033"/>
        </w:numPr>
      </w:pPr>
      <w:r>
        <w:t xml:space="preserve">Repeat? Homopolymer? Segdup? Pseudogene? Low mappability?</w:t>
      </w:r>
    </w:p>
    <w:p>
      <w:pPr>
        <w:numPr>
          <w:ilvl w:val="0"/>
          <w:numId w:val="1025"/>
        </w:numPr>
      </w:pPr>
      <w:r>
        <w:rPr>
          <w:b/>
          <w:bCs/>
        </w:rPr>
        <w:t xml:space="preserve">Caller agreement</w:t>
      </w:r>
    </w:p>
    <w:p>
      <w:pPr>
        <w:pStyle w:val="Compact"/>
        <w:numPr>
          <w:ilvl w:val="1"/>
          <w:numId w:val="1034"/>
        </w:numPr>
      </w:pPr>
      <w:r>
        <w:t xml:space="preserve">GATK and Strelka concordant?</w:t>
      </w:r>
    </w:p>
    <w:p>
      <w:pPr>
        <w:numPr>
          <w:ilvl w:val="0"/>
          <w:numId w:val="1025"/>
        </w:numPr>
      </w:pPr>
      <w:r>
        <w:rPr>
          <w:b/>
          <w:bCs/>
        </w:rPr>
        <w:t xml:space="preserve">Truth-set comparison</w:t>
      </w:r>
    </w:p>
    <w:p>
      <w:pPr>
        <w:pStyle w:val="Compact"/>
        <w:numPr>
          <w:ilvl w:val="0"/>
          <w:numId w:val="1035"/>
        </w:numPr>
      </w:pPr>
      <w:r>
        <w:t xml:space="preserve">Does hap.py classify it as TP, FP, or FN against GIAB?</w:t>
      </w:r>
    </w:p>
    <w:p>
      <w:r>
        <w:pict>
          <v:rect style="width:0;height:1.5pt" o:hralign="center" o:hrstd="t" o:hr="t"/>
        </w:pict>
      </w:r>
    </w:p>
    <w:bookmarkEnd w:id="76"/>
    <w:bookmarkStart w:id="88" w:name="best-concise-answers-to-memorize"/>
    <w:p>
      <w:pPr>
        <w:pStyle w:val="Heading2"/>
      </w:pPr>
      <w:r>
        <w:t xml:space="preserve">18. Best concise answers to memorize</w:t>
      </w:r>
    </w:p>
    <w:bookmarkStart w:id="77" w:name="bwa-vs-star-1"/>
    <w:p>
      <w:pPr>
        <w:pStyle w:val="Heading3"/>
      </w:pPr>
      <w:r>
        <w:t xml:space="preserve">BWA vs STAR</w:t>
      </w:r>
    </w:p>
    <w:p>
      <w:pPr>
        <w:pStyle w:val="BlockText"/>
      </w:pPr>
      <w:r>
        <w:t xml:space="preserve">BWA maps DNA reads contiguously to the genome. STAR is splice-aware and can split RNA-seq reads across exon-exon junctions.</w:t>
      </w:r>
    </w:p>
    <w:bookmarkEnd w:id="77"/>
    <w:bookmarkStart w:id="78" w:name="bwa-vs-gatk-local-assembly"/>
    <w:p>
      <w:pPr>
        <w:pStyle w:val="Heading3"/>
      </w:pPr>
      <w:r>
        <w:t xml:space="preserve">BWA vs GATK local assembly</w:t>
      </w:r>
    </w:p>
    <w:p>
      <w:pPr>
        <w:pStyle w:val="BlockText"/>
      </w:pPr>
      <w:r>
        <w:t xml:space="preserve">BWA maps reads to the reference. GATK locally assembles reads into candidate haplotypes when the reference alignment is unreliable.</w:t>
      </w:r>
    </w:p>
    <w:bookmarkEnd w:id="78"/>
    <w:bookmarkStart w:id="79" w:name="de-bruijn-graph-vs-hmm-1"/>
    <w:p>
      <w:pPr>
        <w:pStyle w:val="Heading3"/>
      </w:pPr>
      <w:r>
        <w:t xml:space="preserve">de Bruijn graph vs HMM</w:t>
      </w:r>
    </w:p>
    <w:p>
      <w:pPr>
        <w:pStyle w:val="BlockText"/>
      </w:pPr>
      <w:r>
        <w:t xml:space="preserve">A de Bruijn graph reconstructs sequence from overlapping k-mers. An HMM infers hidden states from noisy observations.</w:t>
      </w:r>
    </w:p>
    <w:bookmarkEnd w:id="79"/>
    <w:bookmarkStart w:id="80" w:name="does-gatk-use-both"/>
    <w:p>
      <w:pPr>
        <w:pStyle w:val="Heading3"/>
      </w:pPr>
      <w:r>
        <w:t xml:space="preserve">Does GATK use both?</w:t>
      </w:r>
    </w:p>
    <w:p>
      <w:pPr>
        <w:pStyle w:val="BlockText"/>
      </w:pPr>
      <w:r>
        <w:t xml:space="preserve">Yes. GATK uses a de Bruijn graph to generate haplotypes and PairHMM to score read-haplotype likelihoods.</w:t>
      </w:r>
    </w:p>
    <w:bookmarkEnd w:id="80"/>
    <w:bookmarkStart w:id="81" w:name="bwa-competing-alignments"/>
    <w:p>
      <w:pPr>
        <w:pStyle w:val="Heading3"/>
      </w:pPr>
      <w:r>
        <w:t xml:space="preserve">BWA competing alignments</w:t>
      </w:r>
    </w:p>
    <w:p>
      <w:pPr>
        <w:pStyle w:val="BlockText"/>
      </w:pPr>
      <w:r>
        <w:t xml:space="preserve">BWA scores candidate alignments and reports the best one. If multiple alignments score similarly, MAPQ is reduced.</w:t>
      </w:r>
    </w:p>
    <w:bookmarkEnd w:id="81"/>
    <w:bookmarkStart w:id="82" w:name="soft-clipping-1"/>
    <w:p>
      <w:pPr>
        <w:pStyle w:val="Heading3"/>
      </w:pPr>
      <w:r>
        <w:t xml:space="preserve">Soft clipping</w:t>
      </w:r>
    </w:p>
    <w:p>
      <w:pPr>
        <w:pStyle w:val="BlockText"/>
      </w:pPr>
      <w:r>
        <w:t xml:space="preserve">Soft clipping marks unmatched read bases as unaligned while retaining them in the BAM. It often occurs at read ends, indels, adapters, or SV breakpoints.</w:t>
      </w:r>
    </w:p>
    <w:bookmarkEnd w:id="82"/>
    <w:bookmarkStart w:id="83" w:name="strand-vs-mate"/>
    <w:p>
      <w:pPr>
        <w:pStyle w:val="Heading3"/>
      </w:pPr>
      <w:r>
        <w:t xml:space="preserve">Strand vs mate</w:t>
      </w:r>
    </w:p>
    <w:p>
      <w:pPr>
        <w:pStyle w:val="BlockText"/>
      </w:pPr>
      <w:r>
        <w:t xml:space="preserve">Strand refers to reference orientation. Mate refers to Read 1/Read 2 from paired-end sequencing. They are independent.</w:t>
      </w:r>
    </w:p>
    <w:bookmarkEnd w:id="83"/>
    <w:bookmarkStart w:id="84" w:name="svs-and-bams"/>
    <w:p>
      <w:pPr>
        <w:pStyle w:val="Heading3"/>
      </w:pPr>
      <w:r>
        <w:t xml:space="preserve">SVs and BAMs</w:t>
      </w:r>
    </w:p>
    <w:p>
      <w:pPr>
        <w:pStyle w:val="BlockText"/>
      </w:pPr>
      <w:r>
        <w:t xml:space="preserve">SVs create alignment anomalies. SV callers use soft clips, split reads, discordant pairs, depth changes, and assembly to infer breakpoints.</w:t>
      </w:r>
    </w:p>
    <w:bookmarkEnd w:id="84"/>
    <w:bookmarkStart w:id="85" w:name="gatk-vs-strelka"/>
    <w:p>
      <w:pPr>
        <w:pStyle w:val="Heading3"/>
      </w:pPr>
      <w:r>
        <w:t xml:space="preserve">GATK vs Strelka</w:t>
      </w:r>
    </w:p>
    <w:p>
      <w:pPr>
        <w:pStyle w:val="BlockText"/>
      </w:pPr>
      <w:r>
        <w:t xml:space="preserve">GATK uses local assembly plus PairHMM. Strelka uses efficient probabilistic modeling of read evidence. Both perform Bayesian genotype inference.</w:t>
      </w:r>
    </w:p>
    <w:bookmarkEnd w:id="85"/>
    <w:bookmarkStart w:id="86" w:name="strelka-mle"/>
    <w:p>
      <w:pPr>
        <w:pStyle w:val="Heading3"/>
      </w:pPr>
      <w:r>
        <w:t xml:space="preserve">Strelka MLE?</w:t>
      </w:r>
    </w:p>
    <w:p>
      <w:pPr>
        <w:pStyle w:val="BlockText"/>
      </w:pPr>
      <w:r>
        <w:t xml:space="preserve">Strelka computes likelihoods but makes posterior/MAP-style calls using genotype priors.</w:t>
      </w:r>
    </w:p>
    <w:bookmarkEnd w:id="86"/>
    <w:bookmarkStart w:id="87" w:name="multiallelic-call-validity"/>
    <w:p>
      <w:pPr>
        <w:pStyle w:val="Heading3"/>
      </w:pPr>
      <w:r>
        <w:t xml:space="preserve">Multiallelic call validity</w:t>
      </w:r>
    </w:p>
    <w:p>
      <w:pPr>
        <w:pStyle w:val="BlockText"/>
      </w:pPr>
      <w:r>
        <w:t xml:space="preserve">Assess each ALT allele independently: depth, balance, base quality, MAPQ, strand balance, read position, genomic context, and caller concordance.</w:t>
      </w:r>
    </w:p>
    <w:p>
      <w:r>
        <w:pict>
          <v:rect style="width:0;height:1.5pt" o:hralign="center" o:hrstd="t" o:hr="t"/>
        </w:pict>
      </w:r>
    </w:p>
    <w:bookmarkEnd w:id="87"/>
    <w:bookmarkEnd w:id="88"/>
    <w:bookmarkStart w:id="89" w:name="one-integrated-explanation"/>
    <w:p>
      <w:pPr>
        <w:pStyle w:val="Heading2"/>
      </w:pPr>
      <w:r>
        <w:t xml:space="preserve">19. One integrated explanation</w:t>
      </w:r>
    </w:p>
    <w:p>
      <w:pPr>
        <w:pStyle w:val="FirstParagraph"/>
      </w:pPr>
      <w:r>
        <w:t xml:space="preserve">A strong overall explanation for the interview:</w:t>
      </w:r>
    </w:p>
    <w:p>
      <w:pPr>
        <w:pStyle w:val="BlockText"/>
      </w:pPr>
      <w:r>
        <w:t xml:space="preserve">In this pipeline, BWA first maps short DNA reads to the reference using indexed seed-and-extend alignment. It scores candidate placements and assigns mapping quality based on how uniquely the read maps. However, alignment can be unreliable in repeats, low-mappability regions, indels, and structural variant breakpoints, so downstream variant callers model the evidence differently. GATK HaplotypeCaller performs local assembly with de Bruijn graphs to reconstruct candidate haplotypes, then uses PairHMM and Bayesian genotyping. Strelka2 uses a faster probabilistic model of read evidence to compute genotype likelihoods and posterior probabilities. Comparing both callers helps assess whether variants are robust to algorithmic assumptions, especially across challenging contexts such as homopolymers, tandem repeats, segmental duplications, and low-mappability regions.</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2026-07-07T16:31:16Z</dcterms:created>
  <dcterms:modified xsi:type="dcterms:W3CDTF">2026-07-07T16:31:16Z</dcterms:modified>
</cp:coreProperties>
</file>

<file path=docProps/custom.xml><?xml version="1.0" encoding="utf-8"?>
<Properties xmlns="http://schemas.openxmlformats.org/officeDocument/2006/custom-properties" xmlns:vt="http://schemas.openxmlformats.org/officeDocument/2006/docPropsVTypes"/>
</file>