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Brain — Public Launch Readiness &amp; Next Steps</w:t>
      </w:r>
    </w:p>
    <w:p>
      <w:pPr>
        <w:spacing w:after="240"/>
      </w:pPr>
      <w:r>
        <w:rPr>
          <w:b/>
          <w:bCs/>
        </w:rPr>
        <w:t xml:space="preserve">Audience: </w:t>
      </w:r>
      <w:r>
        <w:t xml:space="preserve">CTO</w:t>
      </w:r>
      <w:r>
        <w:t xml:space="preserve">    </w:t>
      </w:r>
      <w:r>
        <w:rPr>
          <w:b/>
          <w:bCs/>
        </w:rPr>
        <w:t xml:space="preserve">Author: </w:t>
      </w:r>
      <w:r>
        <w:t xml:space="preserve">engineering</w:t>
      </w:r>
      <w:r>
        <w:t xml:space="preserve">    </w:t>
      </w:r>
      <w:r>
        <w:rPr>
          <w:b/>
          <w:bCs/>
        </w:rPr>
        <w:t xml:space="preserve">Date: </w:t>
      </w:r>
      <w:r>
        <w:t xml:space="preserve">2026-05-19</w:t>
      </w:r>
      <w:r>
        <w:t xml:space="preserve">    </w:t>
      </w:r>
      <w:r>
        <w:rPr>
          <w:b/>
          <w:bCs/>
        </w:rPr>
        <w:t xml:space="preserve">Status: </w:t>
      </w:r>
      <w:r>
        <w:rPr>
          <w:i/>
          <w:iCs/>
        </w:rPr>
        <w:t xml:space="preserve">draft for review</w:t>
      </w:r>
    </w:p>
    <w:p>
      <w:pPr>
        <w:pStyle w:val="Heading2"/>
      </w:pPr>
      <w:r>
        <w:t xml:space="preserve">1. TL;DR</w:t>
      </w:r>
    </w:p>
    <w:p>
      <w:pPr>
        <w:spacing w:after="120"/>
      </w:pPr>
      <w:r>
        <w:t xml:space="preserve">Brain is technically close to a credible public launch. The SDK that the docs commit to now exists in code (8 PRs queued, 95 tests, full coverage of the documented surface). The HTTP API, contracts, and infra all shipped through v0.3. The remaining work is </w:t>
      </w:r>
      <w:r>
        <w:rPr>
          <w:b/>
          <w:bCs/>
        </w:rPr>
        <w:t xml:space="preserve">operational</w:t>
      </w:r>
      <w:r>
        <w:t xml:space="preserve"> more than </w:t>
      </w:r>
      <w:r>
        <w:rPr>
          <w:b/>
          <w:bCs/>
        </w:rPr>
        <w:t xml:space="preserve">implementation</w:t>
      </w:r>
      <w:r>
        <w:t xml:space="preserve"> — publish workflow, drift gates, security triage, SLO commitments, and a staged invite-only → open-beta → GA rollout.</w:t>
      </w:r>
    </w:p>
    <w:p>
      <w:pPr>
        <w:spacing w:after="120"/>
      </w:pPr>
      <w:r>
        <w:rPr>
          <w:b/>
          <w:bCs/>
        </w:rPr>
        <w:t xml:space="preserve">Two realistic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rPr>
          <w:tblHeader/>
        </w:trPr>
        <w:tc>
          <w:tcPr>
            <w:tcW w:type="dxa" w:w="22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Path</w:t>
            </w:r>
          </w:p>
        </w:tc>
        <w:tc>
          <w:tcPr>
            <w:tcW w:type="dxa" w:w="14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Timeline</w:t>
            </w:r>
          </w:p>
        </w:tc>
        <w:tc>
          <w:tcPr>
            <w:tcW w:type="dxa" w:w="336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Audience exposed</w:t>
            </w:r>
          </w:p>
        </w:tc>
        <w:tc>
          <w:tcPr>
            <w:tcW w:type="dxa" w:w="24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Risk profile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A. </w:t>
            </w:r>
            <w:r>
              <w:rPr>
                <w:sz w:val="20"/>
                <w:szCs w:val="20"/>
              </w:rPr>
              <w:t xml:space="preserve">Closed beta now → open beta in 4 wks → GA in 8 wks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8 weeks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5–10 design partners → ~100 → public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Low; we control blast radius at each gate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B. </w:t>
            </w:r>
            <w:r>
              <w:rPr>
                <w:sz w:val="20"/>
                <w:szCs w:val="20"/>
              </w:rPr>
              <w:t xml:space="preserve">Public beta in 2 wks → GA in 4 wks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4 weeks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Public from week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High; we ship before we've stress-tested</w:t>
            </w:r>
          </w:p>
        </w:tc>
      </w:tr>
    </w:tbl>
    <w:p>
      <w:pPr>
        <w:spacing w:after="120"/>
      </w:pPr>
      <w:r>
        <w:t xml:space="preserve"> </w:t>
      </w:r>
    </w:p>
    <w:p>
      <w:pPr>
        <w:spacing w:after="120"/>
      </w:pPr>
      <w:r>
        <w:rPr>
          <w:b/>
          <w:bCs/>
        </w:rPr>
        <w:t xml:space="preserve">Recommendation: Path A. </w:t>
      </w:r>
      <w:r>
        <w:t xml:space="preserve">This is a financial-action protocol with on-chain anchoring; “move fast and break things” is a category mistake. The 4-week shortcut buys little marketing momentum and costs us the incident headroom we'd need on day one.</w:t>
      </w:r>
    </w:p>
    <w:p>
      <w:pPr>
        <w:pStyle w:val="Heading2"/>
      </w:pPr>
      <w:r>
        <w:t xml:space="preserve">2. What's built</w:t>
      </w:r>
    </w:p>
    <w:p>
      <w:pPr>
        <w:pStyle w:val="Heading3"/>
      </w:pPr>
      <w:r>
        <w:t xml:space="preserve">SDK — @brain/sdk</w:t>
      </w:r>
    </w:p>
    <w:p>
      <w:pPr>
        <w:spacing w:after="120"/>
      </w:pPr>
      <w:r>
        <w:t xml:space="preserve">Just landed across 8 PRs (see commit history </w:t>
      </w:r>
      <w:r>
        <w:rPr>
          <w:rFonts w:ascii="Courier New" w:cs="Courier New" w:eastAsia="Courier New" w:hAnsi="Courier New"/>
          <w:sz w:val="20"/>
          <w:szCs w:val="20"/>
        </w:rPr>
        <w:t xml:space="preserve">feat(sdk):</w:t>
      </w:r>
      <w:r>
        <w:t xml:space="preserve"> series). One typed client over the OpenAPI spec, plus a high-level </w:t>
      </w:r>
      <w:r>
        <w:rPr>
          <w:rFonts w:ascii="Courier New" w:cs="Courier New" w:eastAsia="Courier New" w:hAnsi="Courier New"/>
          <w:sz w:val="20"/>
          <w:szCs w:val="20"/>
        </w:rPr>
        <w:t xml:space="preserve">Brain</w:t>
      </w:r>
      <w:r>
        <w:t xml:space="preserve"> class mirroring every documented method on docs.brain.fi:</w:t>
      </w:r>
    </w:p>
    <w:p>
      <w:pPr>
        <w:pStyle w:val="ListParagraph"/>
        <w:numPr>
          <w:ilvl w:val="0"/>
          <w:numId w:val="2"/>
        </w:numPr>
        <w:spacing w:after="80"/>
      </w:pPr>
      <w:r>
        <w:rPr>
          <w:rFonts w:ascii="Courier New" w:cs="Courier New" w:eastAsia="Courier New" w:hAnsi="Courier New"/>
          <w:sz w:val="20"/>
          <w:szCs w:val="20"/>
        </w:rPr>
        <w:t xml:space="preserve">brain.ask</w:t>
      </w:r>
      <w:r>
        <w:t xml:space="preserve">, </w:t>
      </w:r>
      <w:r>
        <w:rPr>
          <w:rFonts w:ascii="Courier New" w:cs="Courier New" w:eastAsia="Courier New" w:hAnsi="Courier New"/>
          <w:sz w:val="20"/>
          <w:szCs w:val="20"/>
        </w:rPr>
        <w:t xml:space="preserve">brain.pay</w:t>
      </w:r>
      <w:r>
        <w:t xml:space="preserve">, </w:t>
      </w:r>
      <w:r>
        <w:rPr>
          <w:rFonts w:ascii="Courier New" w:cs="Courier New" w:eastAsia="Courier New" w:hAnsi="Courier New"/>
          <w:sz w:val="20"/>
          <w:szCs w:val="20"/>
        </w:rPr>
        <w:t xml:space="preserve">brain.approve</w:t>
      </w:r>
      <w:r>
        <w:t xml:space="preserve">, </w:t>
      </w:r>
      <w:r>
        <w:rPr>
          <w:rFonts w:ascii="Courier New" w:cs="Courier New" w:eastAsia="Courier New" w:hAnsi="Courier New"/>
          <w:sz w:val="20"/>
          <w:szCs w:val="20"/>
        </w:rPr>
        <w:t xml:space="preserve">brain.reject</w:t>
      </w:r>
      <w:r>
        <w:t xml:space="preserve">, </w:t>
      </w:r>
      <w:r>
        <w:rPr>
          <w:rFonts w:ascii="Courier New" w:cs="Courier New" w:eastAsia="Courier New" w:hAnsi="Courier New"/>
          <w:sz w:val="20"/>
          <w:szCs w:val="20"/>
        </w:rPr>
        <w:t xml:space="preserve">brain.proof</w:t>
      </w:r>
      <w:r>
        <w:t xml:space="preserve">, </w:t>
      </w:r>
      <w:r>
        <w:rPr>
          <w:rFonts w:ascii="Courier New" w:cs="Courier New" w:eastAsia="Courier New" w:hAnsi="Courier New"/>
          <w:sz w:val="20"/>
          <w:szCs w:val="20"/>
        </w:rPr>
        <w:t xml:space="preserve">brain.snapshot</w:t>
      </w:r>
      <w:r>
        <w:t xml:space="preserve">, </w:t>
      </w:r>
      <w:r>
        <w:rPr>
          <w:rFonts w:ascii="Courier New" w:cs="Courier New" w:eastAsia="Courier New" w:hAnsi="Courier New"/>
          <w:sz w:val="20"/>
          <w:szCs w:val="20"/>
        </w:rPr>
        <w:t xml:space="preserve">brain.trace</w:t>
      </w:r>
      <w:r>
        <w:t xml:space="preserve"> — flat helpers</w:t>
      </w:r>
    </w:p>
    <w:p>
      <w:pPr>
        <w:pStyle w:val="ListParagraph"/>
        <w:numPr>
          <w:ilvl w:val="0"/>
          <w:numId w:val="2"/>
        </w:numPr>
        <w:spacing w:after="80"/>
      </w:pPr>
      <w:r>
        <w:rPr>
          <w:rFonts w:ascii="Courier New" w:cs="Courier New" w:eastAsia="Courier New" w:hAnsi="Courier New"/>
          <w:sz w:val="20"/>
          <w:szCs w:val="20"/>
        </w:rPr>
        <w:t xml:space="preserve">brain.accounts</w:t>
      </w:r>
      <w:r>
        <w:t xml:space="preserve">, </w:t>
      </w:r>
      <w:r>
        <w:rPr>
          <w:rFonts w:ascii="Courier New" w:cs="Courier New" w:eastAsia="Courier New" w:hAnsi="Courier New"/>
          <w:sz w:val="20"/>
          <w:szCs w:val="20"/>
        </w:rPr>
        <w:t xml:space="preserve">.transactions</w:t>
      </w:r>
      <w:r>
        <w:t xml:space="preserve">, </w:t>
      </w:r>
      <w:r>
        <w:rPr>
          <w:rFonts w:ascii="Courier New" w:cs="Courier New" w:eastAsia="Courier New" w:hAnsi="Courier New"/>
          <w:sz w:val="20"/>
          <w:szCs w:val="20"/>
        </w:rPr>
        <w:t xml:space="preserve">.counterparties</w:t>
      </w:r>
      <w:r>
        <w:t xml:space="preserve">, </w:t>
      </w:r>
      <w:r>
        <w:rPr>
          <w:rFonts w:ascii="Courier New" w:cs="Courier New" w:eastAsia="Courier New" w:hAnsi="Courier New"/>
          <w:sz w:val="20"/>
          <w:szCs w:val="20"/>
        </w:rPr>
        <w:t xml:space="preserve">.obligations</w:t>
      </w:r>
      <w:r>
        <w:t xml:space="preserve">, </w:t>
      </w:r>
      <w:r>
        <w:rPr>
          <w:rFonts w:ascii="Courier New" w:cs="Courier New" w:eastAsia="Courier New" w:hAnsi="Courier New"/>
          <w:sz w:val="20"/>
          <w:szCs w:val="20"/>
        </w:rPr>
        <w:t xml:space="preserve">.invoices</w:t>
      </w:r>
      <w:r>
        <w:t xml:space="preserve">, </w:t>
      </w:r>
      <w:r>
        <w:rPr>
          <w:rFonts w:ascii="Courier New" w:cs="Courier New" w:eastAsia="Courier New" w:hAnsi="Courier New"/>
          <w:sz w:val="20"/>
          <w:szCs w:val="20"/>
        </w:rPr>
        <w:t xml:space="preserve">.balances</w:t>
      </w:r>
      <w:r>
        <w:t xml:space="preserve">, </w:t>
      </w:r>
      <w:r>
        <w:rPr>
          <w:rFonts w:ascii="Courier New" w:cs="Courier New" w:eastAsia="Courier New" w:hAnsi="Courier New"/>
          <w:sz w:val="20"/>
          <w:szCs w:val="20"/>
        </w:rPr>
        <w:t xml:space="preserve">.audit</w:t>
      </w:r>
      <w:r>
        <w:t xml:space="preserve">, </w:t>
      </w:r>
      <w:r>
        <w:rPr>
          <w:rFonts w:ascii="Courier New" w:cs="Courier New" w:eastAsia="Courier New" w:hAnsi="Courier New"/>
          <w:sz w:val="20"/>
          <w:szCs w:val="20"/>
        </w:rPr>
        <w:t xml:space="preserve">.payments</w:t>
      </w:r>
      <w:r>
        <w:t xml:space="preserve">, </w:t>
      </w:r>
      <w:r>
        <w:rPr>
          <w:rFonts w:ascii="Courier New" w:cs="Courier New" w:eastAsia="Courier New" w:hAnsi="Courier New"/>
          <w:sz w:val="20"/>
          <w:szCs w:val="20"/>
        </w:rPr>
        <w:t xml:space="preserve">.actions</w:t>
      </w:r>
      <w:r>
        <w:t xml:space="preserve">, </w:t>
      </w:r>
      <w:r>
        <w:rPr>
          <w:rFonts w:ascii="Courier New" w:cs="Courier New" w:eastAsia="Courier New" w:hAnsi="Courier New"/>
          <w:sz w:val="20"/>
          <w:szCs w:val="20"/>
        </w:rPr>
        <w:t xml:space="preserve">.agents</w:t>
      </w:r>
      <w:r>
        <w:t xml:space="preserve">, </w:t>
      </w:r>
      <w:r>
        <w:rPr>
          <w:rFonts w:ascii="Courier New" w:cs="Courier New" w:eastAsia="Courier New" w:hAnsi="Courier New"/>
          <w:sz w:val="20"/>
          <w:szCs w:val="20"/>
        </w:rPr>
        <w:t xml:space="preserve">.raw</w:t>
      </w:r>
      <w:r>
        <w:t xml:space="preserve">, </w:t>
      </w:r>
      <w:r>
        <w:rPr>
          <w:rFonts w:ascii="Courier New" w:cs="Courier New" w:eastAsia="Courier New" w:hAnsi="Courier New"/>
          <w:sz w:val="20"/>
          <w:szCs w:val="20"/>
        </w:rPr>
        <w:t xml:space="preserve">.wiki</w:t>
      </w:r>
      <w:r>
        <w:t xml:space="preserve">, </w:t>
      </w:r>
      <w:r>
        <w:rPr>
          <w:rFonts w:ascii="Courier New" w:cs="Courier New" w:eastAsia="Courier New" w:hAnsi="Courier New"/>
          <w:sz w:val="20"/>
          <w:szCs w:val="20"/>
        </w:rPr>
        <w:t xml:space="preserve">.policy</w:t>
      </w:r>
      <w:r>
        <w:t xml:space="preserve">, </w:t>
      </w:r>
      <w:r>
        <w:rPr>
          <w:rFonts w:ascii="Courier New" w:cs="Courier New" w:eastAsia="Courier New" w:hAnsi="Courier New"/>
          <w:sz w:val="20"/>
          <w:szCs w:val="20"/>
        </w:rPr>
        <w:t xml:space="preserve">.cashFlow</w:t>
      </w:r>
      <w:r>
        <w:t xml:space="preserve"> — namespaced resources</w:t>
      </w:r>
    </w:p>
    <w:p>
      <w:pPr>
        <w:pStyle w:val="ListParagraph"/>
        <w:numPr>
          <w:ilvl w:val="0"/>
          <w:numId w:val="2"/>
        </w:numPr>
        <w:spacing w:after="80"/>
      </w:pPr>
      <w:r>
        <w:t xml:space="preserve">Idempotency keys on every mutating endpoint</w:t>
      </w:r>
    </w:p>
    <w:p>
      <w:pPr>
        <w:pStyle w:val="ListParagraph"/>
        <w:numPr>
          <w:ilvl w:val="0"/>
          <w:numId w:val="2"/>
        </w:numPr>
        <w:spacing w:after="80"/>
      </w:pPr>
      <w:r>
        <w:t xml:space="preserve">Typed errors: </w:t>
      </w:r>
      <w:r>
        <w:rPr>
          <w:rFonts w:ascii="Courier New" w:cs="Courier New" w:eastAsia="Courier New" w:hAnsi="Courier New"/>
          <w:sz w:val="20"/>
          <w:szCs w:val="20"/>
        </w:rPr>
        <w:t xml:space="preserve">BrainAPIError</w:t>
      </w:r>
      <w:r>
        <w:t xml:space="preserve">, </w:t>
      </w:r>
      <w:r>
        <w:rPr>
          <w:rFonts w:ascii="Courier New" w:cs="Courier New" w:eastAsia="Courier New" w:hAnsi="Courier New"/>
          <w:sz w:val="20"/>
          <w:szCs w:val="20"/>
        </w:rPr>
        <w:t xml:space="preserve">PolicyApprovalRequiredError</w:t>
      </w:r>
      <w:r>
        <w:t xml:space="preserve">, </w:t>
      </w:r>
      <w:r>
        <w:rPr>
          <w:rFonts w:ascii="Courier New" w:cs="Courier New" w:eastAsia="Courier New" w:hAnsi="Courier New"/>
          <w:sz w:val="20"/>
          <w:szCs w:val="20"/>
        </w:rPr>
        <w:t xml:space="preserve">PolicyRejectedError</w:t>
      </w:r>
    </w:p>
    <w:p>
      <w:pPr>
        <w:spacing w:after="120"/>
      </w:pPr>
      <w:r>
        <w:rPr>
          <w:b/>
          <w:bCs/>
        </w:rPr>
        <w:t xml:space="preserve">98% line / 92% branch / 100% function coverage. 95 tests.</w:t>
      </w:r>
    </w:p>
    <w:p>
      <w:pPr>
        <w:pStyle w:val="Heading3"/>
      </w:pPr>
      <w:r>
        <w:t xml:space="preserve">HTTP API — api.brain.fi/v1</w:t>
      </w:r>
    </w:p>
    <w:p>
      <w:pPr>
        <w:spacing w:after="120"/>
      </w:pPr>
      <w:r>
        <w:t xml:space="preserve">57 endpoints declared in Brain_API_Specification.yaml. Implementation distributed across nine service workspaces. Per docs/v0.3-deliverables.md, v0.3 is the “ready-for-Series-A” milestone — but Series A readiness and public launch readiness are different bars (see §3).</w:t>
      </w:r>
    </w:p>
    <w:p>
      <w:pPr>
        <w:pStyle w:val="Heading3"/>
      </w:pPr>
      <w:r>
        <w:t xml:space="preserve">Smart contracts — Base L2</w:t>
      </w:r>
    </w:p>
    <w:p>
      <w:pPr>
        <w:spacing w:after="120"/>
      </w:pPr>
      <w:r>
        <w:t xml:space="preserve">Four contracts in </w:t>
      </w:r>
      <w:r>
        <w:rPr>
          <w:rFonts w:ascii="Courier New" w:cs="Courier New" w:eastAsia="Courier New" w:hAnsi="Courier New"/>
          <w:sz w:val="20"/>
          <w:szCs w:val="20"/>
        </w:rPr>
        <w:t xml:space="preserve">contracts/src</w:t>
      </w:r>
      <w:r>
        <w:t xml:space="preserve">: </w:t>
      </w:r>
      <w:r>
        <w:rPr>
          <w:rFonts w:ascii="Courier New" w:cs="Courier New" w:eastAsia="Courier New" w:hAnsi="Courier New"/>
          <w:sz w:val="20"/>
          <w:szCs w:val="20"/>
        </w:rPr>
        <w:t xml:space="preserve">BrainAuditAnchor</w:t>
      </w:r>
      <w:r>
        <w:t xml:space="preserve">, </w:t>
      </w:r>
      <w:r>
        <w:rPr>
          <w:rFonts w:ascii="Courier New" w:cs="Courier New" w:eastAsia="Courier New" w:hAnsi="Courier New"/>
          <w:sz w:val="20"/>
          <w:szCs w:val="20"/>
        </w:rPr>
        <w:t xml:space="preserve">BrainPolicyRegistry</w:t>
      </w:r>
      <w:r>
        <w:t xml:space="preserve">, </w:t>
      </w:r>
      <w:r>
        <w:rPr>
          <w:rFonts w:ascii="Courier New" w:cs="Courier New" w:eastAsia="Courier New" w:hAnsi="Courier New"/>
          <w:sz w:val="20"/>
          <w:szCs w:val="20"/>
        </w:rPr>
        <w:t xml:space="preserve">BrainSmartAccount</w:t>
      </w:r>
      <w:r>
        <w:t xml:space="preserve">, </w:t>
      </w:r>
      <w:r>
        <w:rPr>
          <w:rFonts w:ascii="Courier New" w:cs="Courier New" w:eastAsia="Courier New" w:hAnsi="Courier New"/>
          <w:sz w:val="20"/>
          <w:szCs w:val="20"/>
        </w:rPr>
        <w:t xml:space="preserve">BrainMCPAgentRegistry</w:t>
      </w:r>
      <w:r>
        <w:t xml:space="preserve">. Audit findings addressed (recent commits). Deployment summary lives at docs/deployment-2026-05-11.txt.</w:t>
      </w:r>
    </w:p>
    <w:p>
      <w:pPr>
        <w:pStyle w:val="Heading3"/>
      </w:pPr>
      <w:r>
        <w:t xml:space="preserve">Docs — docs.brain.fi</w:t>
      </w:r>
    </w:p>
    <w:p>
      <w:pPr>
        <w:spacing w:after="120"/>
      </w:pPr>
      <w:r>
        <w:t xml:space="preserve">GitBook-synced to braindotfi/brain-core/main. Content is cleaned up (duplicate trees removed). Some pre-existing /broken/pages/ placeholder links remain (12 of them, mappable to existing pages — small PR pending).</w:t>
      </w:r>
    </w:p>
    <w:p>
      <w:pPr>
        <w:pStyle w:val="Heading3"/>
      </w:pPr>
      <w:r>
        <w:t xml:space="preserve">Infra — Azure + ACR</w:t>
      </w:r>
    </w:p>
    <w:p>
      <w:pPr>
        <w:spacing w:after="120"/>
      </w:pPr>
      <w:r>
        <w:t xml:space="preserve">Per docs/v0.3-deliverables.md: Terraform under </w:t>
      </w:r>
      <w:r>
        <w:rPr>
          <w:rFonts w:ascii="Courier New" w:cs="Courier New" w:eastAsia="Courier New" w:hAnsi="Courier New"/>
          <w:sz w:val="20"/>
          <w:szCs w:val="20"/>
        </w:rPr>
        <w:t xml:space="preserve">infra/</w:t>
      </w:r>
      <w:r>
        <w:t xml:space="preserve">, main-branch CI deploys to staging, manual promote to prod. Rollback runbook at docs/rollback.md.</w:t>
      </w:r>
    </w:p>
    <w:p>
      <w:pPr>
        <w:pStyle w:val="Heading2"/>
      </w:pPr>
      <w:r>
        <w:t xml:space="preserve">3. Gates before public launch</w:t>
      </w:r>
    </w:p>
    <w:p>
      <w:pPr>
        <w:spacing w:after="120"/>
      </w:pPr>
      <w:r>
        <w:t xml:space="preserve">Triaged by what they block.</w:t>
      </w:r>
    </w:p>
    <w:p>
      <w:pPr>
        <w:pStyle w:val="Heading3"/>
      </w:pPr>
      <w:r>
        <w:t xml:space="preserve">P0 — blocks even a closed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60"/>
        <w:gridCol w:w="2400"/>
        <w:gridCol w:w="1500"/>
      </w:tblGrid>
      <w:tr>
        <w:trPr>
          <w:tblHeader/>
        </w:trPr>
        <w:tc>
          <w:tcPr>
            <w:tcW w:type="dxa" w:w="7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w:t>
            </w:r>
          </w:p>
        </w:tc>
        <w:tc>
          <w:tcPr>
            <w:tcW w:type="dxa" w:w="476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Gate</w:t>
            </w:r>
          </w:p>
        </w:tc>
        <w:tc>
          <w:tcPr>
            <w:tcW w:type="dxa" w:w="24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Status</w:t>
            </w:r>
          </w:p>
        </w:tc>
        <w:tc>
          <w:tcPr>
            <w:tcW w:type="dxa" w:w="15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Effort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P0.1</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Merge the 8 SDK PRs and publish to a registry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1–2 days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P0.2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sz w:val="20"/>
                <w:szCs w:val="20"/>
              </w:rPr>
              <w:t xml:space="preserve">Decide publish target: </w:t>
            </w:r>
            <w:r>
              <w:rPr>
                <w:b/>
                <w:bCs/>
                <w:sz w:val="20"/>
                <w:szCs w:val="20"/>
              </w:rPr>
              <w:t xml:space="preserve">public npm</w:t>
            </w:r>
            <w:r>
              <w:rPr>
                <w:sz w:val="20"/>
                <w:szCs w:val="20"/>
              </w:rPr>
              <w:t xml:space="preserve"> vs </w:t>
            </w:r>
            <w:r>
              <w:rPr>
                <w:b/>
                <w:bCs/>
                <w:sz w:val="20"/>
                <w:szCs w:val="20"/>
              </w:rPr>
              <w:t xml:space="preserve">GitHub Packages private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open decision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hour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P0.3</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Set up SDK release pipeline (semver tags → publish workflow)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P0.4</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Fix monorepo lint break on main (Node globals, test parser)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broken in main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P0.5</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Triage 6 Dependabot vulns (4 high, 2 moderate) GitHub flags on push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triaged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0.5–2 days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P0.6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OpenAPI spec audit — we already found one duplicate Agent schema; do a full pass for similar latent issues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partial (1 fix landed in SDK skeleton PR)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P0.7</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sz w:val="20"/>
                <w:szCs w:val="20"/>
              </w:rPr>
              <w:t xml:space="preserve">Doc-example smoke test (1C): CI extracts every TypeScript block from </w:t>
            </w:r>
            <w:r>
              <w:rPr>
                <w:rFonts w:ascii="Courier New" w:cs="Courier New" w:eastAsia="Courier New" w:hAnsi="Courier New"/>
                <w:sz w:val="20"/>
                <w:szCs w:val="20"/>
              </w:rPr>
              <w:t xml:space="preserve">*.md</w:t>
            </w:r>
            <w:r>
              <w:rPr>
                <w:sz w:val="20"/>
                <w:szCs w:val="20"/>
              </w:rPr>
              <w:t xml:space="preserve"> and type-checks against the SDK. Without this we </w:t>
            </w:r>
            <w:r>
              <w:rPr>
                <w:b/>
                <w:bCs/>
                <w:sz w:val="20"/>
                <w:szCs w:val="20"/>
              </w:rPr>
              <w:t xml:space="preserve">will</w:t>
            </w:r>
            <w:r>
              <w:rPr>
                <w:sz w:val="20"/>
                <w:szCs w:val="20"/>
              </w:rPr>
              <w:t xml:space="preserve"> ship docs that don't match the SDK.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P0.8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Pick 5–10 design partners, get them signed under NDA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depends on BD</w:t>
            </w:r>
          </w:p>
        </w:tc>
      </w:tr>
    </w:tbl>
    <w:p>
      <w:pPr>
        <w:spacing w:after="120"/>
      </w:pPr>
      <w:r>
        <w:t xml:space="preserve"> </w:t>
      </w:r>
    </w:p>
    <w:p>
      <w:pPr>
        <w:pStyle w:val="Heading3"/>
      </w:pPr>
      <w:r>
        <w:t xml:space="preserve">P1 — blocks open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60"/>
        <w:gridCol w:w="2400"/>
        <w:gridCol w:w="1500"/>
      </w:tblGrid>
      <w:tr>
        <w:trPr>
          <w:tblHeader/>
        </w:trPr>
        <w:tc>
          <w:tcPr>
            <w:tcW w:type="dxa" w:w="7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w:t>
            </w:r>
          </w:p>
        </w:tc>
        <w:tc>
          <w:tcPr>
            <w:tcW w:type="dxa" w:w="476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Gate</w:t>
            </w:r>
          </w:p>
        </w:tc>
        <w:tc>
          <w:tcPr>
            <w:tcW w:type="dxa" w:w="24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Status</w:t>
            </w:r>
          </w:p>
        </w:tc>
        <w:tc>
          <w:tcPr>
            <w:tcW w:type="dxa" w:w="15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Effort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P1.1</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Production / sandbox environment split documented and enforced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partially shipped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Rate limiting policy documented and enforced (spec already declares 429s)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unknown — verify implementation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1–2 days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P1.3</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Auth: SIWX flow end-to-end smoke test (issued under v0.3 PR4)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shipped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smoke-test only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P1.4</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SLO commitment: p99 latency + monthly availability per surface; publish on docs.brain.fi/resources/sla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defined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 + product call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P1.5</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Status page (status.brain.fi) wired to actual production health probes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Pre-execution gate (§6 13-step) stress-tested under concurrency: no double-spends under 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shipped per v0.3; needs load test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1–2 days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P1.7</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Tenant isolation evidence: RLS verified end-to-end across all nine services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shipped per recent commits; needs cross-tenant pen-test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sz w:val="20"/>
                <w:szCs w:val="20"/>
              </w:rPr>
              <w:t xml:space="preserve">Audit-anchor on-chain verification: end-to-end test from </w:t>
            </w:r>
            <w:r>
              <w:rPr>
                <w:rFonts w:ascii="Courier New" w:cs="Courier New" w:eastAsia="Courier New" w:hAnsi="Courier New"/>
                <w:sz w:val="20"/>
                <w:szCs w:val="20"/>
              </w:rPr>
              <w:t xml:space="preserve">audit.verify</w:t>
            </w:r>
            <w:r>
              <w:rPr>
                <w:sz w:val="20"/>
                <w:szCs w:val="20"/>
              </w:rPr>
              <w:t xml:space="preserve"> → </w:t>
            </w:r>
            <w:r>
              <w:rPr>
                <w:rFonts w:ascii="Courier New" w:cs="Courier New" w:eastAsia="Courier New" w:hAnsi="Courier New"/>
                <w:sz w:val="20"/>
                <w:szCs w:val="20"/>
              </w:rPr>
              <w:t xml:space="preserve">BrainAuditAnchor.verify</w:t>
            </w:r>
            <w:r>
              <w:rPr>
                <w:sz w:val="20"/>
                <w:szCs w:val="20"/>
              </w:rPr>
              <w:t xml:space="preserve"> on Base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shipped per stage-9; smoke-test before launch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P1.9</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Terms of Service + Privacy Policy + Disclaimer reviewed by counsel for API consumers (not just web users)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docs exist; legal review status unknown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external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P1.10</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DPA template for enterprise prospects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external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P1.11</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Pricing + billing: per-call meter, plan tiers, free quota for sandbox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open product decision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depends on product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P1.12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API key issuance flow: self-serve registration, key rotation, scoping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unknown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2–4 days</w:t>
            </w:r>
          </w:p>
        </w:tc>
      </w:tr>
    </w:tbl>
    <w:p>
      <w:pPr>
        <w:spacing w:after="120"/>
      </w:pPr>
      <w:r>
        <w:t xml:space="preserve"> </w:t>
      </w:r>
    </w:p>
    <w:p>
      <w:pPr>
        <w:pStyle w:val="Heading3"/>
      </w:pPr>
      <w:r>
        <w:t xml:space="preserve">P2 — blocks GA (general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60"/>
        <w:gridCol w:w="2400"/>
        <w:gridCol w:w="1500"/>
      </w:tblGrid>
      <w:tr>
        <w:trPr>
          <w:tblHeader/>
        </w:trPr>
        <w:tc>
          <w:tcPr>
            <w:tcW w:type="dxa" w:w="7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w:t>
            </w:r>
          </w:p>
        </w:tc>
        <w:tc>
          <w:tcPr>
            <w:tcW w:type="dxa" w:w="476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Gate</w:t>
            </w:r>
          </w:p>
        </w:tc>
        <w:tc>
          <w:tcPr>
            <w:tcW w:type="dxa" w:w="24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Status</w:t>
            </w:r>
          </w:p>
        </w:tc>
        <w:tc>
          <w:tcPr>
            <w:tcW w:type="dxa" w:w="15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Effort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P2.1</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External security audit (penetration test by reputable firm) — table stakes for FI customers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2–4 weeks (external)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P2.2</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SOC 2 Type I in motion (Vanta/Drata/etc.)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unknown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4–6 weeks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P2.3</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On-call rotation defined, paging configured, runbooks current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partially (rollback.md exists)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week</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P2.4</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Incident response drill (game day): simulate Postgres failover, rail outage, anchor publisher down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 exercise + prep</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P2.5</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Customer SLAs in contracts: 99.9% / 99.95% by tier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defined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product + legal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sz w:val="20"/>
                <w:szCs w:val="20"/>
              </w:rPr>
              <w:t xml:space="preserve">100-concurrent-agent load test on </w:t>
            </w:r>
            <w:r>
              <w:rPr>
                <w:rFonts w:ascii="Courier New" w:cs="Courier New" w:eastAsia="Courier New" w:hAnsi="Courier New"/>
                <w:sz w:val="20"/>
                <w:szCs w:val="20"/>
              </w:rPr>
              <w:t xml:space="preserve">/payment-intents/*</w:t>
            </w:r>
            <w:r>
              <w:rPr>
                <w:sz w:val="20"/>
                <w:szCs w:val="20"/>
              </w:rPr>
              <w:t xml:space="preserve"> and pre-execution gate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started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2–3 days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P2.7</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Marketing-ready launch site, blog post, design partner case studies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external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1–2 weeks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Support tier defined: docs + email + Slack + paid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not defined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product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bCs/>
                <w:sz w:val="20"/>
                <w:szCs w:val="20"/>
              </w:rPr>
              <w:t xml:space="preserve">P2.9</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Multi-region failover validated (or explicitly single-region for v1.0)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unknown — review infra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week if needed</w:t>
            </w:r>
          </w:p>
        </w:tc>
      </w:tr>
    </w:tbl>
    <w:p>
      <w:pPr>
        <w:pStyle w:val="Heading2"/>
      </w:pPr>
      <w:r>
        <w:t xml:space="preserve">4. Recommended launch sequence</w:t>
      </w:r>
    </w:p>
    <w:p>
      <w:pPr>
        <w:pStyle w:val="Heading3"/>
      </w:pPr>
      <w:r>
        <w:t xml:space="preserve">Week 1–3: closed invite-only beta</w:t>
      </w:r>
    </w:p>
    <w:p>
      <w:pPr>
        <w:pStyle w:val="ListParagraph"/>
        <w:numPr>
          <w:ilvl w:val="0"/>
          <w:numId w:val="2"/>
        </w:numPr>
        <w:spacing w:after="80"/>
      </w:pPr>
      <w:r>
        <w:t xml:space="preserve">Merge SDK PRs, publish to chosen registry.</w:t>
      </w:r>
    </w:p>
    <w:p>
      <w:pPr>
        <w:pStyle w:val="ListParagraph"/>
        <w:numPr>
          <w:ilvl w:val="0"/>
          <w:numId w:val="2"/>
        </w:numPr>
        <w:spacing w:after="80"/>
      </w:pPr>
      <w:r>
        <w:t xml:space="preserve">Close all P0 gates.</w:t>
      </w:r>
    </w:p>
    <w:p>
      <w:pPr>
        <w:pStyle w:val="ListParagraph"/>
        <w:numPr>
          <w:ilvl w:val="0"/>
          <w:numId w:val="2"/>
        </w:numPr>
        <w:spacing w:after="80"/>
      </w:pPr>
      <w:r>
        <w:t xml:space="preserve">Hand-pick 5–10 design partners. Brain Slack/Telegram support channel.</w:t>
      </w:r>
    </w:p>
    <w:p>
      <w:pPr>
        <w:pStyle w:val="ListParagraph"/>
        <w:numPr>
          <w:ilvl w:val="0"/>
          <w:numId w:val="2"/>
        </w:numPr>
        <w:spacing w:after="80"/>
      </w:pPr>
      <w:r>
        <w:t xml:space="preserve">White-glove integration: an engineer pair-programs with each partner.</w:t>
      </w:r>
    </w:p>
    <w:p>
      <w:pPr>
        <w:pStyle w:val="ListParagraph"/>
        <w:numPr>
          <w:ilvl w:val="0"/>
          <w:numId w:val="2"/>
        </w:numPr>
        <w:spacing w:after="80"/>
      </w:pPr>
      <w:r>
        <w:t xml:space="preserve">Measure: what breaks, what's confusing, what's slow, what's missing.</w:t>
      </w:r>
    </w:p>
    <w:p>
      <w:pPr>
        <w:pStyle w:val="ListParagraph"/>
        <w:numPr>
          <w:ilvl w:val="0"/>
          <w:numId w:val="2"/>
        </w:numPr>
        <w:spacing w:after="80"/>
      </w:pPr>
      <w:r>
        <w:rPr>
          <w:b/>
          <w:bCs/>
        </w:rPr>
        <w:t xml:space="preserve">Hard stop on advertising the URL. </w:t>
      </w:r>
      <w:r>
        <w:t xml:space="preserve">Single-page “we're in private beta” gate on the sign-up flow.</w:t>
      </w:r>
    </w:p>
    <w:p>
      <w:pPr>
        <w:pStyle w:val="Heading3"/>
      </w:pPr>
      <w:r>
        <w:t xml:space="preserve">Week 4–6: open beta (waitlist)</w:t>
      </w:r>
    </w:p>
    <w:p>
      <w:pPr>
        <w:pStyle w:val="ListParagraph"/>
        <w:numPr>
          <w:ilvl w:val="0"/>
          <w:numId w:val="2"/>
        </w:numPr>
        <w:spacing w:after="80"/>
      </w:pPr>
      <w:r>
        <w:t xml:space="preserve">Close P1 gates.</w:t>
      </w:r>
    </w:p>
    <w:p>
      <w:pPr>
        <w:pStyle w:val="ListParagraph"/>
        <w:numPr>
          <w:ilvl w:val="0"/>
          <w:numId w:val="2"/>
        </w:numPr>
        <w:spacing w:after="80"/>
      </w:pPr>
      <w:r>
        <w:t xml:space="preserve">Self-serve API key issuance with rate-limited free tier for sandbox.</w:t>
      </w:r>
    </w:p>
    <w:p>
      <w:pPr>
        <w:pStyle w:val="ListParagraph"/>
        <w:numPr>
          <w:ilvl w:val="0"/>
          <w:numId w:val="2"/>
        </w:numPr>
        <w:spacing w:after="80"/>
      </w:pPr>
      <w:r>
        <w:t xml:space="preserve">Public docs.brain.fi, public OpenAPI spec, public SDK on npm.</w:t>
      </w:r>
    </w:p>
    <w:p>
      <w:pPr>
        <w:pStyle w:val="ListParagraph"/>
        <w:numPr>
          <w:ilvl w:val="0"/>
          <w:numId w:val="2"/>
        </w:numPr>
        <w:spacing w:after="80"/>
      </w:pPr>
      <w:r>
        <w:t xml:space="preserve">Waitlist gate on production keys; sandbox keys are self-serve.</w:t>
      </w:r>
    </w:p>
    <w:p>
      <w:pPr>
        <w:pStyle w:val="ListParagraph"/>
        <w:numPr>
          <w:ilvl w:val="0"/>
          <w:numId w:val="2"/>
        </w:numPr>
        <w:spacing w:after="80"/>
      </w:pPr>
      <w:r>
        <w:t xml:space="preserve">Status page live; SLO targets publicly committed.</w:t>
      </w:r>
    </w:p>
    <w:p>
      <w:pPr>
        <w:pStyle w:val="ListParagraph"/>
        <w:numPr>
          <w:ilvl w:val="0"/>
          <w:numId w:val="2"/>
        </w:numPr>
        <w:spacing w:after="80"/>
      </w:pPr>
      <w:r>
        <w:t xml:space="preserve">First public blog post: “Brain is open for early access.”</w:t>
      </w:r>
    </w:p>
    <w:p>
      <w:pPr>
        <w:pStyle w:val="Heading3"/>
      </w:pPr>
      <w:r>
        <w:t xml:space="preserve">Week 7–8+: GA</w:t>
      </w:r>
    </w:p>
    <w:p>
      <w:pPr>
        <w:pStyle w:val="ListParagraph"/>
        <w:numPr>
          <w:ilvl w:val="0"/>
          <w:numId w:val="2"/>
        </w:numPr>
        <w:spacing w:after="80"/>
      </w:pPr>
      <w:r>
        <w:t xml:space="preserve">Close P2 gates.</w:t>
      </w:r>
    </w:p>
    <w:p>
      <w:pPr>
        <w:pStyle w:val="ListParagraph"/>
        <w:numPr>
          <w:ilvl w:val="0"/>
          <w:numId w:val="2"/>
        </w:numPr>
        <w:spacing w:after="80"/>
      </w:pPr>
      <w:r>
        <w:t xml:space="preserve">Remove waitlist; production keys self-serve.</w:t>
      </w:r>
    </w:p>
    <w:p>
      <w:pPr>
        <w:pStyle w:val="ListParagraph"/>
        <w:numPr>
          <w:ilvl w:val="0"/>
          <w:numId w:val="2"/>
        </w:numPr>
        <w:spacing w:after="80"/>
      </w:pPr>
      <w:r>
        <w:t xml:space="preserve">Pricing live; billing live.</w:t>
      </w:r>
    </w:p>
    <w:p>
      <w:pPr>
        <w:pStyle w:val="ListParagraph"/>
        <w:numPr>
          <w:ilvl w:val="0"/>
          <w:numId w:val="2"/>
        </w:numPr>
        <w:spacing w:after="80"/>
      </w:pPr>
      <w:r>
        <w:t xml:space="preserve">Enterprise tier with SLA and DPA.</w:t>
      </w:r>
    </w:p>
    <w:p>
      <w:pPr>
        <w:pStyle w:val="ListParagraph"/>
        <w:numPr>
          <w:ilvl w:val="0"/>
          <w:numId w:val="2"/>
        </w:numPr>
        <w:spacing w:after="80"/>
      </w:pPr>
      <w:r>
        <w:t xml:space="preserve">Public security report (or summary) from the pen-test.</w:t>
      </w:r>
    </w:p>
    <w:p>
      <w:pPr>
        <w:pStyle w:val="ListParagraph"/>
        <w:numPr>
          <w:ilvl w:val="0"/>
          <w:numId w:val="2"/>
        </w:numPr>
        <w:spacing w:after="80"/>
      </w:pPr>
      <w:r>
        <w:t xml:space="preserve">Marketing launch sequence.</w:t>
      </w:r>
    </w:p>
    <w:p>
      <w:pPr>
        <w:pStyle w:val="Heading2"/>
      </w:pPr>
      <w:r>
        <w:t xml:space="preserve">5. Concrete backlog (next 4 weeks)</w:t>
      </w:r>
    </w:p>
    <w:p>
      <w:pPr>
        <w:spacing w:after="120"/>
      </w:pPr>
      <w:r>
        <w:t xml:space="preserve">The list is long but most items are 0.5–2 days. The critical path is P0 → P1.1–P1.5 → P1.11–P1.12.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60"/>
        <w:gridCol w:w="1700"/>
        <w:gridCol w:w="1600"/>
      </w:tblGrid>
      <w:tr>
        <w:trPr>
          <w:tblHeader/>
        </w:trPr>
        <w:tc>
          <w:tcPr>
            <w:tcW w:type="dxa" w:w="11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Owner</w:t>
            </w:r>
          </w:p>
        </w:tc>
        <w:tc>
          <w:tcPr>
            <w:tcW w:type="dxa" w:w="496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Item</w:t>
            </w:r>
          </w:p>
        </w:tc>
        <w:tc>
          <w:tcPr>
            <w:tcW w:type="dxa" w:w="17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Estimate</w:t>
            </w:r>
          </w:p>
        </w:tc>
        <w:tc>
          <w:tcPr>
            <w:tcW w:type="dxa" w:w="1600"/>
            <w:tcBorders>
              <w:top w:val="single" w:color="BFBFBF" w:sz="4"/>
              <w:left w:val="single" w:color="BFBFBF" w:sz="4"/>
              <w:bottom w:val="single" w:color="BFBFBF" w:sz="4"/>
              <w:right w:val="single" w:color="BFBFBF" w:sz="4"/>
            </w:tcBorders>
            <w:shd w:fill="E7EEF6" w:val="clear"/>
            <w:tcMar>
              <w:top w:type="dxa" w:w="80"/>
              <w:left w:type="dxa" w:w="120"/>
              <w:bottom w:type="dxa" w:w="80"/>
              <w:right w:type="dxa" w:w="120"/>
            </w:tcMar>
            <w:vAlign w:val="top"/>
          </w:tcPr>
          <w:p>
            <w:pPr>
              <w:spacing w:after="0" w:before="0"/>
            </w:pPr>
            <w:r>
              <w:rPr>
                <w:b/>
                <w:bCs/>
                <w:sz w:val="20"/>
                <w:szCs w:val="20"/>
              </w:rPr>
              <w:t xml:space="preserve">Gate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sz w:val="20"/>
                <w:szCs w:val="20"/>
              </w:rPr>
              <w:t xml:space="preserve">Merge </w:t>
            </w:r>
            <w:r>
              <w:rPr>
                <w:rFonts w:ascii="Courier New" w:cs="Courier New" w:eastAsia="Courier New" w:hAnsi="Courier New"/>
                <w:sz w:val="20"/>
                <w:szCs w:val="20"/>
              </w:rPr>
              <w:t xml:space="preserve">claude/jovial-hellman-64d048</w:t>
            </w:r>
            <w:r>
              <w:rPr>
                <w:sz w:val="20"/>
                <w:szCs w:val="20"/>
              </w:rPr>
              <w:t xml:space="preserve"> (1A SDK skeleton)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Rebase + merge 1B.1 → 1B.7 SDK slices in order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2 days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Decide + configure publish target (npm public vs GH Packages)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P0.2</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Add GitHub Actions release workflow (tag push → publish)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P0.3</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sz w:val="20"/>
                <w:szCs w:val="20"/>
              </w:rPr>
              <w:t xml:space="preserve">Fix </w:t>
            </w:r>
            <w:r>
              <w:rPr>
                <w:rFonts w:ascii="Courier New" w:cs="Courier New" w:eastAsia="Courier New" w:hAnsi="Courier New"/>
                <w:sz w:val="20"/>
                <w:szCs w:val="20"/>
              </w:rPr>
              <w:t xml:space="preserve">eslint.config.mjs</w:t>
            </w:r>
            <w:r>
              <w:rPr>
                <w:sz w:val="20"/>
                <w:szCs w:val="20"/>
              </w:rPr>
              <w:t xml:space="preserve"> Node globals + add </w:t>
            </w:r>
            <w:r>
              <w:rPr>
                <w:rFonts w:ascii="Courier New" w:cs="Courier New" w:eastAsia="Courier New" w:hAnsi="Courier New"/>
                <w:sz w:val="20"/>
                <w:szCs w:val="20"/>
              </w:rPr>
              <w:t xml:space="preserve">tsconfig.lint.json</w:t>
            </w:r>
            <w:r>
              <w:rPr>
                <w:sz w:val="20"/>
                <w:szCs w:val="20"/>
              </w:rPr>
              <w:t xml:space="preserve"> per package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P0.4</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Triage 6 Dependabot vulns; upgrade or document risk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0.5–2 days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P0.5</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Full OpenAPI spec audit (validate, find latent dups, snake/camel)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P0.6</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1C doc-example smoke test in CI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P0.7</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BD/CEO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Identify + sign 5–10 design partners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week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P0.8</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Sandbox + prod env separation documented and rate-limited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1–2 days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P1.1, P1.2</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SIWX end-to-end smoke test (re-verify v0.3 PR4)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P1.3</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product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Define SLO targets per surface + publish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P1.4</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Status page (Statuspage / Atlassian / built-in) wired to prod probes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P1.5</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Pre-exec gate concurrency load test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1–2 days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P1.6</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Cross-tenant pen-test (internal) of RLS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P1.7</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Audit-anchor on-chain verification smoke test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0.5 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P1.8</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legal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ToS / Privacy / Disclaimer review for API users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external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P1.9</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legal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DPA template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external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P1.10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product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Pricing model + billing flow</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1–2 weeks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P1.11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eng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Self-serve API key issuance + rotation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2–4 days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before="0"/>
            </w:pPr>
            <w:r>
              <w:rPr>
                <w:b w:val="false"/>
                <w:bCs w:val="false"/>
                <w:sz w:val="20"/>
                <w:szCs w:val="20"/>
              </w:rPr>
              <w:t xml:space="preserve">P1.12</w:t>
            </w:r>
          </w:p>
        </w:tc>
      </w:tr>
    </w:tbl>
    <w:p>
      <w:pPr>
        <w:pStyle w:val="Heading2"/>
      </w:pPr>
      <w:r>
        <w:t xml:space="preserve">6. Open product / strategy decisions</w:t>
      </w:r>
    </w:p>
    <w:p>
      <w:pPr>
        <w:spacing w:after="120"/>
      </w:pPr>
      <w:r>
        <w:t xml:space="preserve">CTO calls needed before P1 work can land cleanly:</w:t>
      </w:r>
    </w:p>
    <w:p>
      <w:pPr>
        <w:pStyle w:val="ListParagraph"/>
        <w:numPr>
          <w:ilvl w:val="0"/>
          <w:numId w:val="3"/>
        </w:numPr>
        <w:spacing w:after="120"/>
      </w:pPr>
      <w:r>
        <w:rPr>
          <w:b/>
          <w:bCs/>
        </w:rPr>
        <w:t xml:space="preserve">Publish target for @brain/sdk</w:t>
      </w:r>
      <w:r>
        <w:t xml:space="preserve"> — public npm registers us as “open source-y” and welcomes external auditing. Private GH Packages gives us tighter control but adds an npmrc auth step for customers. </w:t>
      </w:r>
      <w:r>
        <w:rPr>
          <w:b/>
          <w:bCs/>
        </w:rPr>
        <w:t xml:space="preserve">Recommendation: public npm.</w:t>
      </w:r>
      <w:r>
        <w:t xml:space="preserve"> The docs already commit to </w:t>
      </w:r>
      <w:r>
        <w:rPr>
          <w:rFonts w:ascii="Courier New" w:cs="Courier New" w:eastAsia="Courier New" w:hAnsi="Courier New"/>
          <w:sz w:val="20"/>
          <w:szCs w:val="20"/>
        </w:rPr>
        <w:t xml:space="preserve">npm install @brain/sdk</w:t>
      </w:r>
      <w:r>
        <w:t xml:space="preserve">; matching that is the lowest-friction developer onramp. The implementation isn't a competitive moat — the protocol, the policy DSL, the on-chain anchoring, and the service surface are.</w:t>
      </w:r>
    </w:p>
    <w:p>
      <w:pPr>
        <w:pStyle w:val="ListParagraph"/>
        <w:numPr>
          <w:ilvl w:val="0"/>
          <w:numId w:val="3"/>
        </w:numPr>
        <w:spacing w:after="120"/>
      </w:pPr>
      <w:r>
        <w:rPr>
          <w:b/>
          <w:bCs/>
        </w:rPr>
        <w:t xml:space="preserve">Versioning policy</w:t>
      </w:r>
      <w:r>
        <w:t xml:space="preserve"> — SDK semver, API URL versioning (</w:t>
      </w:r>
      <w:r>
        <w:rPr>
          <w:rFonts w:ascii="Courier New" w:cs="Courier New" w:eastAsia="Courier New" w:hAnsi="Courier New"/>
          <w:sz w:val="20"/>
          <w:szCs w:val="20"/>
        </w:rPr>
        <w:t xml:space="preserve">/v1</w:t>
      </w:r>
      <w:r>
        <w:t xml:space="preserve">), doc versioning. Pick a clear rule: e.g., URL version bumps only on breaking change; SDK minor versions track non-breaking additions; docs always reflect the latest stable.</w:t>
      </w:r>
    </w:p>
    <w:p>
      <w:pPr>
        <w:pStyle w:val="ListParagraph"/>
        <w:numPr>
          <w:ilvl w:val="0"/>
          <w:numId w:val="3"/>
        </w:numPr>
        <w:spacing w:after="120"/>
      </w:pPr>
      <w:r>
        <w:rPr>
          <w:b/>
          <w:bCs/>
        </w:rPr>
        <w:t xml:space="preserve">API key model</w:t>
      </w:r>
      <w:r>
        <w:t xml:space="preserve"> — single key per tenant (simple) or scoped keys per service / per environment (Stripe-style, more secure). The docs already show scoped MCP attestations for agents; we should align human-issued keys with the same shape.</w:t>
      </w:r>
    </w:p>
    <w:p>
      <w:pPr>
        <w:pStyle w:val="ListParagraph"/>
        <w:numPr>
          <w:ilvl w:val="0"/>
          <w:numId w:val="3"/>
        </w:numPr>
        <w:spacing w:after="120"/>
      </w:pPr>
      <w:r>
        <w:rPr>
          <w:b/>
          <w:bCs/>
        </w:rPr>
        <w:t xml:space="preserve">Pricing model</w:t>
      </w:r>
      <w:r>
        <w:t xml:space="preserve"> — usage-based per-call? Per-tenant flat? Free sandbox + paid prod? Decide before P1.11 lands so the billing integration knows what to count.</w:t>
      </w:r>
    </w:p>
    <w:p>
      <w:pPr>
        <w:pStyle w:val="ListParagraph"/>
        <w:numPr>
          <w:ilvl w:val="0"/>
          <w:numId w:val="3"/>
        </w:numPr>
        <w:spacing w:after="120"/>
      </w:pPr>
      <w:r>
        <w:rPr>
          <w:b/>
          <w:bCs/>
        </w:rPr>
        <w:t xml:space="preserve">SLA tiers</w:t>
      </w:r>
      <w:r>
        <w:t xml:space="preserve"> — 99.9% default, 99.95% enterprise? Refunds on miss? Define before contracts go to legal.</w:t>
      </w:r>
    </w:p>
    <w:p>
      <w:pPr>
        <w:pStyle w:val="ListParagraph"/>
        <w:numPr>
          <w:ilvl w:val="0"/>
          <w:numId w:val="3"/>
        </w:numPr>
        <w:spacing w:after="120"/>
      </w:pPr>
      <w:r>
        <w:rPr>
          <w:b/>
          <w:bCs/>
        </w:rPr>
        <w:t xml:space="preserve">tenantId on flat SDK helpers</w:t>
      </w:r>
      <w:r>
        <w:t xml:space="preserve"> — currently a no-op argument matching the docs signature. Decision: either (a) extend the API to accept cross-tenant tokens with an </w:t>
      </w:r>
      <w:r>
        <w:rPr>
          <w:rFonts w:ascii="Courier New" w:cs="Courier New" w:eastAsia="Courier New" w:hAnsi="Courier New"/>
          <w:sz w:val="20"/>
          <w:szCs w:val="20"/>
        </w:rPr>
        <w:t xml:space="preserve">X-Tenant-Id</w:t>
      </w:r>
      <w:r>
        <w:t xml:space="preserve"> header, or (b) drop the argument from the SDK and update the docs to match. Lean (a) — multi-tenant support is the natural ask from enterprise prospects.</w:t>
      </w:r>
    </w:p>
    <w:p>
      <w:pPr>
        <w:pStyle w:val="ListParagraph"/>
        <w:numPr>
          <w:ilvl w:val="0"/>
          <w:numId w:val="3"/>
        </w:numPr>
        <w:spacing w:after="120"/>
      </w:pPr>
      <w:r>
        <w:rPr>
          <w:b/>
          <w:bCs/>
        </w:rPr>
        <w:t xml:space="preserve">PaymentIntent ↔ AuditEvent linkage</w:t>
      </w:r>
      <w:r>
        <w:t xml:space="preserve"> — the SDK's </w:t>
      </w:r>
      <w:r>
        <w:rPr>
          <w:rFonts w:ascii="Courier New" w:cs="Courier New" w:eastAsia="Courier New" w:hAnsi="Courier New"/>
          <w:sz w:val="20"/>
          <w:szCs w:val="20"/>
        </w:rPr>
        <w:t xml:space="preserve">brain.proof</w:t>
      </w:r>
      <w:r>
        <w:t xml:space="preserve"> currently requires the caller to resolve the event id via </w:t>
      </w:r>
      <w:r>
        <w:rPr>
          <w:rFonts w:ascii="Courier New" w:cs="Courier New" w:eastAsia="Courier New" w:hAnsi="Courier New"/>
          <w:sz w:val="20"/>
          <w:szCs w:val="20"/>
        </w:rPr>
        <w:t xml:space="preserve">brain.audit.history</w:t>
      </w:r>
      <w:r>
        <w:t xml:space="preserve">. The intent shape doesn't carry an </w:t>
      </w:r>
      <w:r>
        <w:rPr>
          <w:rFonts w:ascii="Courier New" w:cs="Courier New" w:eastAsia="Courier New" w:hAnsi="Courier New"/>
          <w:sz w:val="20"/>
          <w:szCs w:val="20"/>
        </w:rPr>
        <w:t xml:space="preserve">audit_event_id</w:t>
      </w:r>
      <w:r>
        <w:t xml:space="preserve">. Either add the field on the server side, or document the two-step lookup as the canonical flow. Affects every integration that wants to grab a proof.</w:t>
      </w:r>
    </w:p>
    <w:p>
      <w:pPr>
        <w:pStyle w:val="ListParagraph"/>
        <w:numPr>
          <w:ilvl w:val="0"/>
          <w:numId w:val="3"/>
        </w:numPr>
        <w:spacing w:after="120"/>
      </w:pPr>
      <w:r>
        <w:rPr>
          <w:b/>
          <w:bCs/>
        </w:rPr>
        <w:t xml:space="preserve">Multipart raw upload</w:t>
      </w:r>
      <w:r>
        <w:t xml:space="preserve"> — the SDK only wraps URL-based </w:t>
      </w:r>
      <w:r>
        <w:rPr>
          <w:rFonts w:ascii="Courier New" w:cs="Courier New" w:eastAsia="Courier New" w:hAnsi="Courier New"/>
          <w:sz w:val="20"/>
          <w:szCs w:val="20"/>
        </w:rPr>
        <w:t xml:space="preserve">/raw/ingest</w:t>
      </w:r>
      <w:r>
        <w:t xml:space="preserve"> today. Binary upload via multipart is the more common path for receipts/invoices/statements. Should land before open beta.</w:t>
      </w:r>
    </w:p>
    <w:p>
      <w:pPr>
        <w:pStyle w:val="ListParagraph"/>
        <w:numPr>
          <w:ilvl w:val="0"/>
          <w:numId w:val="3"/>
        </w:numPr>
        <w:spacing w:after="120"/>
      </w:pPr>
      <w:r>
        <w:rPr>
          <w:b/>
          <w:bCs/>
        </w:rPr>
        <w:t xml:space="preserve">Doc-driven workflow ownership</w:t>
      </w:r>
      <w:r>
        <w:t xml:space="preserve"> — we decided GitBook is source of truth. Who has editor access? Who reviews doc-driven SDK changes? Recommended: docs PR triggers </w:t>
      </w:r>
      <w:r>
        <w:rPr>
          <w:rFonts w:ascii="Courier New" w:cs="Courier New" w:eastAsia="Courier New" w:hAnsi="Courier New"/>
          <w:sz w:val="20"/>
          <w:szCs w:val="20"/>
        </w:rPr>
        <w:t xml:space="preserve">1C</w:t>
      </w:r>
      <w:r>
        <w:t xml:space="preserve"> smoke test → if it fails, the SDK PR that makes it pass is the canonical follow-up.</w:t>
      </w:r>
    </w:p>
    <w:p>
      <w:pPr>
        <w:pStyle w:val="Heading2"/>
      </w:pPr>
      <w:r>
        <w:t xml:space="preserve">7. Risks I'd specifically call out</w:t>
      </w:r>
    </w:p>
    <w:p>
      <w:pPr>
        <w:pStyle w:val="ListParagraph"/>
        <w:numPr>
          <w:ilvl w:val="0"/>
          <w:numId w:val="2"/>
        </w:numPr>
        <w:spacing w:after="80"/>
      </w:pPr>
      <w:r>
        <w:rPr>
          <w:b/>
          <w:bCs/>
        </w:rPr>
        <w:t xml:space="preserve">The pre-execution gate is the most load-bearing piece of the whole protocol. </w:t>
      </w:r>
      <w:r>
        <w:t xml:space="preserve">If it has a concurrency bug — double-execute, race on idempotency key, RLS bypass under load — that's a money-loss incident on day one. P1.6 (concurrent load test) is non-negotiable before open beta.</w:t>
      </w:r>
    </w:p>
    <w:p>
      <w:pPr>
        <w:pStyle w:val="ListParagraph"/>
        <w:numPr>
          <w:ilvl w:val="0"/>
          <w:numId w:val="2"/>
        </w:numPr>
        <w:spacing w:after="80"/>
      </w:pPr>
      <w:r>
        <w:rPr>
          <w:b/>
          <w:bCs/>
        </w:rPr>
        <w:t xml:space="preserve">The OpenAPI spec is the contract. </w:t>
      </w:r>
      <w:r>
        <w:t xml:space="preserve">We already found one duplicate </w:t>
      </w:r>
      <w:r>
        <w:rPr>
          <w:rFonts w:ascii="Courier New" w:cs="Courier New" w:eastAsia="Courier New" w:hAnsi="Courier New"/>
          <w:sz w:val="20"/>
          <w:szCs w:val="20"/>
        </w:rPr>
        <w:t xml:space="preserve">Agent:</w:t>
      </w:r>
      <w:r>
        <w:t xml:space="preserve"> schema that crashed strict YAML parsers. There may be others. The 1C smoke test catches divergence between docs and SDK, but it does not catch divergence between SDK and </w:t>
      </w:r>
      <w:r>
        <w:rPr>
          <w:b/>
          <w:bCs/>
        </w:rPr>
        <w:t xml:space="preserve">running server</w:t>
      </w:r>
      <w:r>
        <w:t xml:space="preserve">. Recommend a separate CI job that runs the SDK's typed client against a recorded server response set — or, better, an integration test service that proxies real responses through.</w:t>
      </w:r>
    </w:p>
    <w:p>
      <w:pPr>
        <w:pStyle w:val="ListParagraph"/>
        <w:numPr>
          <w:ilvl w:val="0"/>
          <w:numId w:val="2"/>
        </w:numPr>
        <w:spacing w:after="80"/>
      </w:pPr>
      <w:r>
        <w:rPr>
          <w:b/>
          <w:bCs/>
        </w:rPr>
        <w:t xml:space="preserve">The SDK is brand new. </w:t>
      </w:r>
      <w:r>
        <w:t xml:space="preserve">95 tests is high coverage for the code we wrote but zero real-world miles. The first design partners </w:t>
      </w:r>
      <w:r>
        <w:rPr>
          <w:i/>
          <w:iCs/>
        </w:rPr>
        <w:t xml:space="preserve">will</w:t>
      </w:r>
      <w:r>
        <w:t xml:space="preserve"> find bugs we can't predict. Closed beta is for catching these before they hit production load.</w:t>
      </w:r>
    </w:p>
    <w:p>
      <w:pPr>
        <w:pStyle w:val="ListParagraph"/>
        <w:numPr>
          <w:ilvl w:val="0"/>
          <w:numId w:val="2"/>
        </w:numPr>
        <w:spacing w:after="80"/>
      </w:pPr>
      <w:r>
        <w:rPr>
          <w:b/>
          <w:bCs/>
        </w:rPr>
        <w:t xml:space="preserve">@brain/sdk not yet on npm. </w:t>
      </w:r>
      <w:r>
        <w:t xml:space="preserve">Every code example on docs.brain.fi currently </w:t>
      </w:r>
      <w:r>
        <w:rPr>
          <w:rFonts w:ascii="Courier New" w:cs="Courier New" w:eastAsia="Courier New" w:hAnsi="Courier New"/>
          <w:sz w:val="20"/>
          <w:szCs w:val="20"/>
        </w:rPr>
        <w:t xml:space="preserve">npm install</w:t>
      </w:r>
      <w:r>
        <w:t xml:space="preserve">s a non-existent package. This is the loudest, most public misalignment between docs and reality. Fix in week 1.</w:t>
      </w:r>
    </w:p>
    <w:p>
      <w:pPr>
        <w:pStyle w:val="ListParagraph"/>
        <w:numPr>
          <w:ilvl w:val="0"/>
          <w:numId w:val="2"/>
        </w:numPr>
        <w:spacing w:after="80"/>
      </w:pPr>
      <w:r>
        <w:rPr>
          <w:b/>
          <w:bCs/>
        </w:rPr>
        <w:t xml:space="preserve">Dependabot is flagging 6 vulns. </w:t>
      </w:r>
      <w:r>
        <w:t xml:space="preserve">Could be transitive deps, could be a real surface. Triage cost is low; risk of ignoring is high. Don't ship public docs that direct people at our install command while CVEs are pending.</w:t>
      </w:r>
    </w:p>
    <w:p>
      <w:pPr>
        <w:pStyle w:val="ListParagraph"/>
        <w:numPr>
          <w:ilvl w:val="0"/>
          <w:numId w:val="2"/>
        </w:numPr>
        <w:spacing w:after="80"/>
      </w:pPr>
      <w:r>
        <w:rPr>
          <w:b/>
          <w:bCs/>
        </w:rPr>
        <w:t xml:space="preserve">No publish workflow means no migration story. </w:t>
      </w:r>
      <w:r>
        <w:t xml:space="preserve">The day after launch, someone will report a bug. We need a release workflow ready to ship 0.1.1 within hours, not days.</w:t>
      </w:r>
    </w:p>
    <w:p>
      <w:pPr>
        <w:pStyle w:val="ListParagraph"/>
        <w:numPr>
          <w:ilvl w:val="0"/>
          <w:numId w:val="2"/>
        </w:numPr>
        <w:spacing w:after="80"/>
      </w:pPr>
      <w:r>
        <w:rPr>
          <w:b/>
          <w:bCs/>
        </w:rPr>
        <w:t xml:space="preserve">Status page is more important than developers think. </w:t>
      </w:r>
      <w:r>
        <w:t xml:space="preserve">When a rail goes down, customers won't open a support ticket — they'll assume our API is broken. A clear status page deflects 80% of support volume during incidents and tells the market we're operationally serious.</w:t>
      </w:r>
    </w:p>
    <w:p>
      <w:pPr>
        <w:spacing w:after="120"/>
      </w:pPr>
      <w:r>
        <w:t xml:space="preserve"> </w:t>
      </w:r>
    </w:p>
    <w:p>
      <w:pPr>
        <w:pBdr>
          <w:top w:val="single" w:color="BFBFBF" w:sz="6" w:space="6"/>
        </w:pBdr>
        <w:spacing w:after="240" w:before="240"/>
      </w:pPr>
      <w:r>
        <w:rPr>
          <w:b/>
          <w:bCs/>
        </w:rPr>
        <w:t xml:space="preserve">Net recommendation: </w:t>
      </w:r>
      <w:r>
        <w:t xml:space="preserve">4 weeks of focused work gets us to credible open beta. 8 weeks gets us to GA we can defend. The risk-adjusted choice is the staged path; the temptation to skip closed beta is the single biggest threat to a clean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 Public Launch Readiness &amp; Next Steps</dc:title>
  <dc:creator>Brain Engineering</dc:creator>
  <cp:lastModifiedBy>Un-named</cp:lastModifiedBy>
  <cp:revision>1</cp:revision>
  <dcterms:created xsi:type="dcterms:W3CDTF">2026-05-19T01:17:54.189Z</dcterms:created>
  <dcterms:modified xsi:type="dcterms:W3CDTF">2026-05-19T01:17:54.190Z</dcterms:modified>
</cp:coreProperties>
</file>

<file path=docProps/custom.xml><?xml version="1.0" encoding="utf-8"?>
<Properties xmlns="http://schemas.openxmlformats.org/officeDocument/2006/custom-properties" xmlns:vt="http://schemas.openxmlformats.org/officeDocument/2006/docPropsVTypes"/>
</file>