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A7585" w14:textId="7A17ADEC" w:rsidR="003D0F00" w:rsidRDefault="0025710C">
      <w:pPr>
        <w:rPr>
          <w:b/>
          <w:bCs/>
        </w:rPr>
      </w:pPr>
      <w:r>
        <w:rPr>
          <w:b/>
          <w:bCs/>
        </w:rPr>
        <w:t>Workflow</w:t>
      </w:r>
      <w:r>
        <w:rPr>
          <w:b/>
          <w:bCs/>
        </w:rPr>
        <w:t xml:space="preserve"> for </w:t>
      </w:r>
      <w:proofErr w:type="spellStart"/>
      <w:r>
        <w:rPr>
          <w:b/>
          <w:bCs/>
        </w:rPr>
        <w:t>FFR</w:t>
      </w:r>
      <w:r w:rsidR="003D0F00">
        <w:rPr>
          <w:b/>
          <w:bCs/>
        </w:rPr>
        <w:t>Classifiers</w:t>
      </w:r>
      <w:proofErr w:type="spellEnd"/>
      <w:r w:rsidR="003D0F00">
        <w:rPr>
          <w:b/>
          <w:bCs/>
        </w:rPr>
        <w:t xml:space="preserve"> Scripts </w:t>
      </w:r>
    </w:p>
    <w:p w14:paraId="5E06F7B0" w14:textId="4C58FDC4" w:rsidR="003D0F00" w:rsidRDefault="003D0F00">
      <w:pPr>
        <w:rPr>
          <w:b/>
          <w:bCs/>
        </w:rPr>
      </w:pPr>
    </w:p>
    <w:p w14:paraId="0D4A1B94" w14:textId="4CBB749C" w:rsidR="003D0F00" w:rsidRDefault="0025710C" w:rsidP="003D0F0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Here are the steps to follow relative to </w:t>
      </w:r>
      <w:r w:rsidR="003D0F00">
        <w:rPr>
          <w:rFonts w:ascii="Calibri" w:hAnsi="Calibri" w:cs="Calibri"/>
          <w:color w:val="000000"/>
          <w:sz w:val="22"/>
          <w:szCs w:val="22"/>
        </w:rPr>
        <w:t>scripts of the folder “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FFR</w:t>
      </w:r>
      <w:r w:rsidR="003D0F00">
        <w:rPr>
          <w:rFonts w:ascii="Calibri" w:hAnsi="Calibri" w:cs="Calibri"/>
          <w:color w:val="000000"/>
          <w:sz w:val="22"/>
          <w:szCs w:val="22"/>
        </w:rPr>
        <w:t>Classifiers</w:t>
      </w:r>
      <w:proofErr w:type="spellEnd"/>
      <w:r w:rsidR="003D0F00">
        <w:rPr>
          <w:rFonts w:ascii="Calibri" w:hAnsi="Calibri" w:cs="Calibri"/>
          <w:color w:val="000000"/>
          <w:sz w:val="22"/>
          <w:szCs w:val="22"/>
        </w:rPr>
        <w:t xml:space="preserve">”: </w:t>
      </w:r>
    </w:p>
    <w:p w14:paraId="785B9D3B" w14:textId="77777777" w:rsidR="003D0F00" w:rsidRDefault="003D0F00" w:rsidP="003D0F0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6F10A231" w14:textId="4E7573DD" w:rsidR="003D0F00" w:rsidRDefault="003D0F00" w:rsidP="003D0F0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a.</w:t>
      </w:r>
      <w:r>
        <w:rPr>
          <w:color w:val="000000"/>
          <w:sz w:val="14"/>
          <w:szCs w:val="14"/>
        </w:rPr>
        <w:t>       </w:t>
      </w:r>
      <w:r>
        <w:rPr>
          <w:rFonts w:ascii="Calibri" w:hAnsi="Calibri" w:cs="Calibri"/>
          <w:color w:val="000000"/>
          <w:sz w:val="22"/>
          <w:szCs w:val="22"/>
        </w:rPr>
        <w:t xml:space="preserve">Place the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matlab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matrices  in the folder “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ffrs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”</w:t>
      </w:r>
    </w:p>
    <w:p w14:paraId="0AEAD468" w14:textId="6EED3E97" w:rsidR="0025710C" w:rsidRDefault="0025710C" w:rsidP="003D0F0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(The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matlab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matrices are already there for this tutorial, but this you be where to put them if you use another dataset)</w:t>
      </w:r>
    </w:p>
    <w:p w14:paraId="14E03B5A" w14:textId="77777777" w:rsidR="0025710C" w:rsidRDefault="0025710C" w:rsidP="003D0F0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6C2B1471" w14:textId="539B8579" w:rsidR="003D0F00" w:rsidRDefault="003D0F00" w:rsidP="003D0F0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b.</w:t>
      </w:r>
      <w:r>
        <w:rPr>
          <w:color w:val="000000"/>
          <w:sz w:val="14"/>
          <w:szCs w:val="14"/>
        </w:rPr>
        <w:t>       </w:t>
      </w:r>
      <w:r>
        <w:rPr>
          <w:rFonts w:ascii="Calibri" w:hAnsi="Calibri" w:cs="Calibri"/>
          <w:color w:val="000000"/>
          <w:sz w:val="22"/>
          <w:szCs w:val="22"/>
        </w:rPr>
        <w:t>Run “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createInputDatabase.m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” to get these matrices ready for </w:t>
      </w:r>
      <w:r w:rsidR="0025710C">
        <w:rPr>
          <w:rFonts w:ascii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hAnsi="Calibri" w:cs="Calibri"/>
          <w:color w:val="000000"/>
          <w:sz w:val="22"/>
          <w:szCs w:val="22"/>
        </w:rPr>
        <w:t>hmm/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svm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xcorr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processing</w:t>
      </w:r>
    </w:p>
    <w:p w14:paraId="4DCC9034" w14:textId="77777777" w:rsidR="0025710C" w:rsidRDefault="0025710C" w:rsidP="003D0F0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4BBC252B" w14:textId="7951AFA7" w:rsidR="003D0F00" w:rsidRDefault="003D0F00" w:rsidP="003D0F0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c.</w:t>
      </w:r>
      <w:r>
        <w:rPr>
          <w:color w:val="000000"/>
          <w:sz w:val="14"/>
          <w:szCs w:val="14"/>
        </w:rPr>
        <w:t>       </w:t>
      </w:r>
      <w:r>
        <w:rPr>
          <w:rFonts w:ascii="Calibri" w:hAnsi="Calibri" w:cs="Calibri"/>
          <w:color w:val="000000"/>
          <w:sz w:val="22"/>
          <w:szCs w:val="22"/>
        </w:rPr>
        <w:t>Run “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counting.m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” in folder “input1” if you want to check the number of clean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ffrs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per subject</w:t>
      </w:r>
    </w:p>
    <w:p w14:paraId="0FFE63D0" w14:textId="77777777" w:rsidR="0025710C" w:rsidRDefault="0025710C" w:rsidP="003D0F0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0BEAAEAD" w14:textId="3BC50284" w:rsidR="003D0F00" w:rsidRDefault="003D0F00" w:rsidP="003D0F0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d.</w:t>
      </w:r>
      <w:r>
        <w:rPr>
          <w:color w:val="000000"/>
          <w:sz w:val="14"/>
          <w:szCs w:val="14"/>
        </w:rPr>
        <w:t>       </w:t>
      </w:r>
      <w:r>
        <w:rPr>
          <w:rFonts w:ascii="Calibri" w:hAnsi="Calibri" w:cs="Calibri"/>
          <w:color w:val="000000"/>
          <w:sz w:val="22"/>
          <w:szCs w:val="22"/>
        </w:rPr>
        <w:t xml:space="preserve">To visualize individual/grand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ffr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waveforms/spectrograms, run “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exploreInput.m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”. Figures will be automatically saved in folder “figures”</w:t>
      </w:r>
    </w:p>
    <w:p w14:paraId="3932C090" w14:textId="77777777" w:rsidR="0025710C" w:rsidRDefault="0025710C" w:rsidP="003D0F0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453BE456" w14:textId="2D47DE95" w:rsidR="003D0F00" w:rsidRDefault="003D0F00" w:rsidP="003D0F0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e.</w:t>
      </w:r>
      <w:r>
        <w:rPr>
          <w:color w:val="000000"/>
          <w:sz w:val="14"/>
          <w:szCs w:val="14"/>
        </w:rPr>
        <w:t>       </w:t>
      </w:r>
      <w:r>
        <w:rPr>
          <w:rFonts w:ascii="Calibri" w:hAnsi="Calibri" w:cs="Calibri"/>
          <w:color w:val="000000"/>
          <w:sz w:val="22"/>
          <w:szCs w:val="22"/>
        </w:rPr>
        <w:t>Go to the folder of the classifier you want to use and run “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main.m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”</w:t>
      </w:r>
    </w:p>
    <w:p w14:paraId="3205F0E9" w14:textId="77777777" w:rsidR="0025710C" w:rsidRDefault="0025710C" w:rsidP="003D0F0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25B387A4" w14:textId="6B122442" w:rsidR="003D0F00" w:rsidRDefault="003D0F00" w:rsidP="003D0F0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f.</w:t>
      </w:r>
      <w:r>
        <w:rPr>
          <w:color w:val="000000"/>
          <w:sz w:val="14"/>
          <w:szCs w:val="14"/>
        </w:rPr>
        <w:t>        </w:t>
      </w:r>
      <w:r>
        <w:rPr>
          <w:rFonts w:ascii="Calibri" w:hAnsi="Calibri" w:cs="Calibri"/>
          <w:color w:val="000000"/>
          <w:sz w:val="22"/>
          <w:szCs w:val="22"/>
        </w:rPr>
        <w:t>Once “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main.m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” is done, run “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analysesCorrectRates.m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”, “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analysesLogProbs.m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”, and/or “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analysesXcorrs.m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” to visualize the results. Plots will be automatically saved in folder “figures” within the corresponding classifier folder</w:t>
      </w:r>
    </w:p>
    <w:p w14:paraId="0D0C3873" w14:textId="105C575E" w:rsidR="003D0F00" w:rsidRDefault="003D0F00" w:rsidP="003D0F00">
      <w:pPr>
        <w:rPr>
          <w:b/>
          <w:bCs/>
        </w:rPr>
      </w:pPr>
    </w:p>
    <w:p w14:paraId="41905903" w14:textId="3E82BD4F" w:rsidR="0025710C" w:rsidRDefault="0025710C" w:rsidP="003D0F00">
      <w:pPr>
        <w:rPr>
          <w:b/>
          <w:bCs/>
        </w:rPr>
      </w:pPr>
      <w:r>
        <w:rPr>
          <w:b/>
          <w:bCs/>
        </w:rPr>
        <w:t>Observation from Author of the Scripts (Fernando Llanos)</w:t>
      </w:r>
    </w:p>
    <w:p w14:paraId="38A547B5" w14:textId="37BCB396" w:rsidR="0025710C" w:rsidRDefault="0025710C" w:rsidP="003D0F00">
      <w:pPr>
        <w:rPr>
          <w:b/>
          <w:bCs/>
        </w:rPr>
      </w:pPr>
    </w:p>
    <w:p w14:paraId="6AE8994C" w14:textId="6ABF4B6F" w:rsidR="0025710C" w:rsidRDefault="0025710C" w:rsidP="0025710C">
      <w:p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</w:rPr>
      </w:pPr>
      <w:r w:rsidRPr="0025710C">
        <w:rPr>
          <w:rFonts w:ascii="Calibri" w:eastAsia="Times New Roman" w:hAnsi="Calibri" w:cs="Calibri"/>
          <w:color w:val="000000"/>
          <w:sz w:val="22"/>
          <w:szCs w:val="22"/>
        </w:rPr>
        <w:t>(1)</w:t>
      </w:r>
      <w:r w:rsidRPr="0025710C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25710C">
        <w:rPr>
          <w:rFonts w:ascii="Calibri" w:eastAsia="Times New Roman" w:hAnsi="Calibri" w:cs="Calibri"/>
          <w:color w:val="000000"/>
          <w:sz w:val="22"/>
          <w:szCs w:val="22"/>
        </w:rPr>
        <w:t>In the excel files (attached) you will find the HMM log probabilities for syllable (“logprobs1”) and tone (“logprobs2”). Columns in each of these files contain the following information (from 1</w:t>
      </w:r>
      <w:r w:rsidRPr="0025710C">
        <w:rPr>
          <w:rFonts w:ascii="Calibri" w:eastAsia="Times New Roman" w:hAnsi="Calibri" w:cs="Calibri"/>
          <w:color w:val="000000"/>
          <w:sz w:val="22"/>
          <w:szCs w:val="22"/>
          <w:vertAlign w:val="superscript"/>
        </w:rPr>
        <w:t>st</w:t>
      </w:r>
      <w:r w:rsidRPr="0025710C">
        <w:rPr>
          <w:rFonts w:ascii="Calibri" w:eastAsia="Times New Roman" w:hAnsi="Calibri" w:cs="Calibri"/>
          <w:color w:val="000000"/>
          <w:sz w:val="22"/>
          <w:szCs w:val="22"/>
        </w:rPr>
        <w:t xml:space="preserve"> to last column): </w:t>
      </w:r>
      <w:proofErr w:type="spellStart"/>
      <w:r w:rsidRPr="0025710C">
        <w:rPr>
          <w:rFonts w:ascii="Calibri" w:eastAsia="Times New Roman" w:hAnsi="Calibri" w:cs="Calibri"/>
          <w:color w:val="000000"/>
          <w:sz w:val="22"/>
          <w:szCs w:val="22"/>
        </w:rPr>
        <w:t>subjectNumber</w:t>
      </w:r>
      <w:proofErr w:type="spellEnd"/>
      <w:r w:rsidRPr="0025710C">
        <w:rPr>
          <w:rFonts w:ascii="Calibri" w:eastAsia="Times New Roman" w:hAnsi="Calibri" w:cs="Calibri"/>
          <w:color w:val="000000"/>
          <w:sz w:val="22"/>
          <w:szCs w:val="22"/>
        </w:rPr>
        <w:t xml:space="preserve">, </w:t>
      </w:r>
      <w:proofErr w:type="spellStart"/>
      <w:r w:rsidRPr="0025710C">
        <w:rPr>
          <w:rFonts w:ascii="Calibri" w:eastAsia="Times New Roman" w:hAnsi="Calibri" w:cs="Calibri"/>
          <w:color w:val="000000"/>
          <w:sz w:val="22"/>
          <w:szCs w:val="22"/>
        </w:rPr>
        <w:t>groupNumber</w:t>
      </w:r>
      <w:proofErr w:type="spellEnd"/>
      <w:r w:rsidRPr="0025710C">
        <w:rPr>
          <w:rFonts w:ascii="Calibri" w:eastAsia="Times New Roman" w:hAnsi="Calibri" w:cs="Calibri"/>
          <w:color w:val="000000"/>
          <w:sz w:val="22"/>
          <w:szCs w:val="22"/>
        </w:rPr>
        <w:t xml:space="preserve">, </w:t>
      </w:r>
      <w:proofErr w:type="spellStart"/>
      <w:r w:rsidRPr="0025710C">
        <w:rPr>
          <w:rFonts w:ascii="Calibri" w:eastAsia="Times New Roman" w:hAnsi="Calibri" w:cs="Calibri"/>
          <w:color w:val="000000"/>
          <w:sz w:val="22"/>
          <w:szCs w:val="22"/>
        </w:rPr>
        <w:t>trialSize</w:t>
      </w:r>
      <w:proofErr w:type="spellEnd"/>
      <w:r w:rsidRPr="0025710C">
        <w:rPr>
          <w:rFonts w:ascii="Calibri" w:eastAsia="Times New Roman" w:hAnsi="Calibri" w:cs="Calibri"/>
          <w:color w:val="000000"/>
          <w:sz w:val="22"/>
          <w:szCs w:val="22"/>
        </w:rPr>
        <w:t xml:space="preserve">, </w:t>
      </w:r>
      <w:proofErr w:type="spellStart"/>
      <w:r w:rsidRPr="0025710C">
        <w:rPr>
          <w:rFonts w:ascii="Calibri" w:eastAsia="Times New Roman" w:hAnsi="Calibri" w:cs="Calibri"/>
          <w:color w:val="000000"/>
          <w:sz w:val="22"/>
          <w:szCs w:val="22"/>
        </w:rPr>
        <w:t>logProbability</w:t>
      </w:r>
      <w:proofErr w:type="spellEnd"/>
      <w:r w:rsidRPr="0025710C">
        <w:rPr>
          <w:rFonts w:ascii="Calibri" w:eastAsia="Times New Roman" w:hAnsi="Calibri" w:cs="Calibri"/>
          <w:color w:val="000000"/>
          <w:sz w:val="22"/>
          <w:szCs w:val="22"/>
        </w:rPr>
        <w:t>. These files are automatically created and saved in the “</w:t>
      </w:r>
      <w:proofErr w:type="spellStart"/>
      <w:r w:rsidRPr="0025710C">
        <w:rPr>
          <w:rFonts w:ascii="Calibri" w:eastAsia="Times New Roman" w:hAnsi="Calibri" w:cs="Calibri"/>
          <w:color w:val="000000"/>
          <w:sz w:val="22"/>
          <w:szCs w:val="22"/>
        </w:rPr>
        <w:t>logprobs</w:t>
      </w:r>
      <w:proofErr w:type="spellEnd"/>
      <w:r w:rsidRPr="0025710C">
        <w:rPr>
          <w:rFonts w:ascii="Calibri" w:eastAsia="Times New Roman" w:hAnsi="Calibri" w:cs="Calibri"/>
          <w:color w:val="000000"/>
          <w:sz w:val="22"/>
          <w:szCs w:val="22"/>
        </w:rPr>
        <w:t>” folder by my scripts, so you will be able to get them too if you want to change the models or your subject database in the future</w:t>
      </w:r>
    </w:p>
    <w:p w14:paraId="47BDC714" w14:textId="77777777" w:rsidR="0025710C" w:rsidRPr="0025710C" w:rsidRDefault="0025710C" w:rsidP="0025710C">
      <w:p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784DE3D4" w14:textId="53E423FF" w:rsidR="0025710C" w:rsidRDefault="0025710C" w:rsidP="0025710C">
      <w:p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</w:rPr>
      </w:pPr>
      <w:r w:rsidRPr="0025710C">
        <w:rPr>
          <w:rFonts w:ascii="Calibri" w:eastAsia="Times New Roman" w:hAnsi="Calibri" w:cs="Calibri"/>
          <w:color w:val="000000"/>
          <w:sz w:val="22"/>
          <w:szCs w:val="22"/>
        </w:rPr>
        <w:t>(2)</w:t>
      </w:r>
      <w:r w:rsidRPr="0025710C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25710C">
        <w:rPr>
          <w:rFonts w:ascii="Calibri" w:eastAsia="Times New Roman" w:hAnsi="Calibri" w:cs="Calibri"/>
          <w:color w:val="000000"/>
          <w:sz w:val="22"/>
          <w:szCs w:val="22"/>
        </w:rPr>
        <w:t xml:space="preserve">Subject #210 (not #209) was excluded from the modeling because its number of </w:t>
      </w:r>
      <w:proofErr w:type="spellStart"/>
      <w:r w:rsidRPr="0025710C">
        <w:rPr>
          <w:rFonts w:ascii="Calibri" w:eastAsia="Times New Roman" w:hAnsi="Calibri" w:cs="Calibri"/>
          <w:color w:val="000000"/>
          <w:sz w:val="22"/>
          <w:szCs w:val="22"/>
        </w:rPr>
        <w:t>ffrs</w:t>
      </w:r>
      <w:proofErr w:type="spellEnd"/>
      <w:r w:rsidRPr="0025710C">
        <w:rPr>
          <w:rFonts w:ascii="Calibri" w:eastAsia="Times New Roman" w:hAnsi="Calibri" w:cs="Calibri"/>
          <w:color w:val="000000"/>
          <w:sz w:val="22"/>
          <w:szCs w:val="22"/>
        </w:rPr>
        <w:t xml:space="preserve"> per class was smaller than 1500. Some trials for this subject were labeled as “0” rather than “1/2”.This may explain why. Looks like something that can be easily fixed</w:t>
      </w:r>
    </w:p>
    <w:p w14:paraId="7245C9A5" w14:textId="77777777" w:rsidR="0025710C" w:rsidRPr="0025710C" w:rsidRDefault="0025710C" w:rsidP="0025710C">
      <w:p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5F2A3985" w14:textId="7A55C13D" w:rsidR="0025710C" w:rsidRDefault="0025710C" w:rsidP="0025710C">
      <w:p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</w:rPr>
      </w:pPr>
      <w:r w:rsidRPr="0025710C">
        <w:rPr>
          <w:rFonts w:ascii="Calibri" w:eastAsia="Times New Roman" w:hAnsi="Calibri" w:cs="Calibri"/>
          <w:color w:val="000000"/>
          <w:sz w:val="22"/>
          <w:szCs w:val="22"/>
        </w:rPr>
        <w:t>(3)</w:t>
      </w:r>
      <w:r w:rsidRPr="0025710C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25710C">
        <w:rPr>
          <w:rFonts w:ascii="Calibri" w:eastAsia="Times New Roman" w:hAnsi="Calibri" w:cs="Calibri"/>
          <w:color w:val="000000"/>
          <w:sz w:val="22"/>
          <w:szCs w:val="22"/>
        </w:rPr>
        <w:t xml:space="preserve">This time I applied a standard baseline correction preprocessing step, followed by an artifact rejection step of baseline corrected </w:t>
      </w:r>
      <w:proofErr w:type="spellStart"/>
      <w:r w:rsidRPr="0025710C">
        <w:rPr>
          <w:rFonts w:ascii="Calibri" w:eastAsia="Times New Roman" w:hAnsi="Calibri" w:cs="Calibri"/>
          <w:color w:val="000000"/>
          <w:sz w:val="22"/>
          <w:szCs w:val="22"/>
        </w:rPr>
        <w:t>ffrs</w:t>
      </w:r>
      <w:proofErr w:type="spellEnd"/>
      <w:r w:rsidRPr="0025710C">
        <w:rPr>
          <w:rFonts w:ascii="Calibri" w:eastAsia="Times New Roman" w:hAnsi="Calibri" w:cs="Calibri"/>
          <w:color w:val="000000"/>
          <w:sz w:val="22"/>
          <w:szCs w:val="22"/>
        </w:rPr>
        <w:t xml:space="preserve"> with maximal-absolute-amplitude higher than 35uV. The number of </w:t>
      </w:r>
      <w:proofErr w:type="spellStart"/>
      <w:r w:rsidRPr="0025710C">
        <w:rPr>
          <w:rFonts w:ascii="Calibri" w:eastAsia="Times New Roman" w:hAnsi="Calibri" w:cs="Calibri"/>
          <w:color w:val="000000"/>
          <w:sz w:val="22"/>
          <w:szCs w:val="22"/>
        </w:rPr>
        <w:t>ffrs</w:t>
      </w:r>
      <w:proofErr w:type="spellEnd"/>
      <w:r w:rsidRPr="0025710C">
        <w:rPr>
          <w:rFonts w:ascii="Calibri" w:eastAsia="Times New Roman" w:hAnsi="Calibri" w:cs="Calibri"/>
          <w:color w:val="000000"/>
          <w:sz w:val="22"/>
          <w:szCs w:val="22"/>
        </w:rPr>
        <w:t xml:space="preserve"> rejected varied across subjects. I kept only the subjects with equal or more than 2300 clean </w:t>
      </w:r>
      <w:proofErr w:type="spellStart"/>
      <w:r w:rsidRPr="0025710C">
        <w:rPr>
          <w:rFonts w:ascii="Calibri" w:eastAsia="Times New Roman" w:hAnsi="Calibri" w:cs="Calibri"/>
          <w:color w:val="000000"/>
          <w:sz w:val="22"/>
          <w:szCs w:val="22"/>
        </w:rPr>
        <w:t>ffrs</w:t>
      </w:r>
      <w:proofErr w:type="spellEnd"/>
      <w:r w:rsidRPr="0025710C">
        <w:rPr>
          <w:rFonts w:ascii="Calibri" w:eastAsia="Times New Roman" w:hAnsi="Calibri" w:cs="Calibri"/>
          <w:color w:val="000000"/>
          <w:sz w:val="22"/>
          <w:szCs w:val="22"/>
        </w:rPr>
        <w:t xml:space="preserve"> (11 in musicians: 101,102,103,104,105,106,107,109,110,112,114; and 10 in no-musicians:201,202,204,205,207,208,209,211,213,214). 2300 looked like the maximum number of trials that gave me a </w:t>
      </w:r>
      <w:proofErr w:type="gramStart"/>
      <w:r w:rsidRPr="0025710C">
        <w:rPr>
          <w:rFonts w:ascii="Calibri" w:eastAsia="Times New Roman" w:hAnsi="Calibri" w:cs="Calibri"/>
          <w:color w:val="000000"/>
          <w:sz w:val="22"/>
          <w:szCs w:val="22"/>
        </w:rPr>
        <w:t>decent number</w:t>
      </w:r>
      <w:proofErr w:type="gramEnd"/>
      <w:r w:rsidRPr="0025710C">
        <w:rPr>
          <w:rFonts w:ascii="Calibri" w:eastAsia="Times New Roman" w:hAnsi="Calibri" w:cs="Calibri"/>
          <w:color w:val="000000"/>
          <w:sz w:val="22"/>
          <w:szCs w:val="22"/>
        </w:rPr>
        <w:t xml:space="preserve"> subjects in each group. Since I am attaching the scripts here, you will be able to run the scripts over different selection of subjects.</w:t>
      </w:r>
    </w:p>
    <w:p w14:paraId="46E33C91" w14:textId="77777777" w:rsidR="0025710C" w:rsidRPr="0025710C" w:rsidRDefault="0025710C" w:rsidP="0025710C">
      <w:p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71ED86BE" w14:textId="169766D0" w:rsidR="0025710C" w:rsidRDefault="0025710C" w:rsidP="0025710C">
      <w:p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</w:rPr>
      </w:pPr>
      <w:r w:rsidRPr="0025710C">
        <w:rPr>
          <w:rFonts w:ascii="Calibri" w:eastAsia="Times New Roman" w:hAnsi="Calibri" w:cs="Calibri"/>
          <w:color w:val="000000"/>
          <w:sz w:val="22"/>
          <w:szCs w:val="22"/>
        </w:rPr>
        <w:t>(4)</w:t>
      </w:r>
      <w:r w:rsidRPr="0025710C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25710C">
        <w:rPr>
          <w:rFonts w:ascii="Calibri" w:eastAsia="Times New Roman" w:hAnsi="Calibri" w:cs="Calibri"/>
          <w:color w:val="000000"/>
          <w:sz w:val="22"/>
          <w:szCs w:val="22"/>
        </w:rPr>
        <w:t xml:space="preserve">You will find the results in the pdf attached here. In summary: overall HMM accuracy (correct rate) increased reaching values closed around 0.9 of accuracy for 2300 trials. Musician </w:t>
      </w:r>
      <w:proofErr w:type="spellStart"/>
      <w:r w:rsidRPr="0025710C">
        <w:rPr>
          <w:rFonts w:ascii="Calibri" w:eastAsia="Times New Roman" w:hAnsi="Calibri" w:cs="Calibri"/>
          <w:color w:val="000000"/>
          <w:sz w:val="22"/>
          <w:szCs w:val="22"/>
        </w:rPr>
        <w:t>logprobs</w:t>
      </w:r>
      <w:proofErr w:type="spellEnd"/>
      <w:r w:rsidRPr="0025710C">
        <w:rPr>
          <w:rFonts w:ascii="Calibri" w:eastAsia="Times New Roman" w:hAnsi="Calibri" w:cs="Calibri"/>
          <w:color w:val="000000"/>
          <w:sz w:val="22"/>
          <w:szCs w:val="22"/>
        </w:rPr>
        <w:t xml:space="preserve"> for tone were statistically higher than no-musician </w:t>
      </w:r>
      <w:proofErr w:type="spellStart"/>
      <w:r w:rsidRPr="0025710C">
        <w:rPr>
          <w:rFonts w:ascii="Calibri" w:eastAsia="Times New Roman" w:hAnsi="Calibri" w:cs="Calibri"/>
          <w:color w:val="000000"/>
          <w:sz w:val="22"/>
          <w:szCs w:val="22"/>
        </w:rPr>
        <w:t>logprobs</w:t>
      </w:r>
      <w:proofErr w:type="spellEnd"/>
      <w:r w:rsidRPr="0025710C">
        <w:rPr>
          <w:rFonts w:ascii="Calibri" w:eastAsia="Times New Roman" w:hAnsi="Calibri" w:cs="Calibri"/>
          <w:color w:val="000000"/>
          <w:sz w:val="22"/>
          <w:szCs w:val="22"/>
        </w:rPr>
        <w:t xml:space="preserve"> for the highest sample sizes (e.g., 2300), and the trend across sizes suggests that between-group differences will increase for larger sizes.</w:t>
      </w:r>
    </w:p>
    <w:p w14:paraId="494FEEC3" w14:textId="77777777" w:rsidR="0025710C" w:rsidRPr="0025710C" w:rsidRDefault="0025710C" w:rsidP="0025710C">
      <w:p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405728A6" w14:textId="77777777" w:rsidR="0025710C" w:rsidRPr="0025710C" w:rsidRDefault="0025710C" w:rsidP="0025710C">
      <w:p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</w:rPr>
      </w:pPr>
      <w:r w:rsidRPr="0025710C">
        <w:rPr>
          <w:rFonts w:ascii="Calibri" w:eastAsia="Times New Roman" w:hAnsi="Calibri" w:cs="Calibri"/>
          <w:color w:val="000000"/>
          <w:sz w:val="22"/>
          <w:szCs w:val="22"/>
        </w:rPr>
        <w:lastRenderedPageBreak/>
        <w:t>(5)</w:t>
      </w:r>
      <w:r w:rsidRPr="0025710C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25710C">
        <w:rPr>
          <w:rFonts w:ascii="Calibri" w:eastAsia="Times New Roman" w:hAnsi="Calibri" w:cs="Calibri"/>
          <w:color w:val="000000"/>
          <w:sz w:val="22"/>
          <w:szCs w:val="22"/>
        </w:rPr>
        <w:t xml:space="preserve">Overall SVM accuracy (correct rate) is lower than HMM accuracy. As far as I know, SVM does not provide </w:t>
      </w:r>
      <w:proofErr w:type="spellStart"/>
      <w:r w:rsidRPr="0025710C">
        <w:rPr>
          <w:rFonts w:ascii="Calibri" w:eastAsia="Times New Roman" w:hAnsi="Calibri" w:cs="Calibri"/>
          <w:color w:val="000000"/>
          <w:sz w:val="22"/>
          <w:szCs w:val="22"/>
        </w:rPr>
        <w:t>logprobs</w:t>
      </w:r>
      <w:proofErr w:type="spellEnd"/>
      <w:r w:rsidRPr="0025710C">
        <w:rPr>
          <w:rFonts w:ascii="Calibri" w:eastAsia="Times New Roman" w:hAnsi="Calibri" w:cs="Calibri"/>
          <w:color w:val="000000"/>
          <w:sz w:val="22"/>
          <w:szCs w:val="22"/>
        </w:rPr>
        <w:t xml:space="preserve"> (or something similar) for categories because it focuses on whether vectors are inside/outside of hyper-volumes (kind of “yes” or “no” metric). I think it would be possible to define a continuous </w:t>
      </w:r>
      <w:proofErr w:type="spellStart"/>
      <w:r w:rsidRPr="0025710C">
        <w:rPr>
          <w:rFonts w:ascii="Calibri" w:eastAsia="Times New Roman" w:hAnsi="Calibri" w:cs="Calibri"/>
          <w:color w:val="000000"/>
          <w:sz w:val="22"/>
          <w:szCs w:val="22"/>
        </w:rPr>
        <w:t>svm</w:t>
      </w:r>
      <w:proofErr w:type="spellEnd"/>
      <w:r w:rsidRPr="0025710C">
        <w:rPr>
          <w:rFonts w:ascii="Calibri" w:eastAsia="Times New Roman" w:hAnsi="Calibri" w:cs="Calibri"/>
          <w:color w:val="000000"/>
          <w:sz w:val="22"/>
          <w:szCs w:val="22"/>
        </w:rPr>
        <w:t xml:space="preserve"> metric by computing orthogonal distances from </w:t>
      </w:r>
      <w:proofErr w:type="spellStart"/>
      <w:r w:rsidRPr="0025710C">
        <w:rPr>
          <w:rFonts w:ascii="Calibri" w:eastAsia="Times New Roman" w:hAnsi="Calibri" w:cs="Calibri"/>
          <w:color w:val="000000"/>
          <w:sz w:val="22"/>
          <w:szCs w:val="22"/>
        </w:rPr>
        <w:t>svm</w:t>
      </w:r>
      <w:proofErr w:type="spellEnd"/>
      <w:r w:rsidRPr="0025710C">
        <w:rPr>
          <w:rFonts w:ascii="Calibri" w:eastAsia="Times New Roman" w:hAnsi="Calibri" w:cs="Calibri"/>
          <w:color w:val="000000"/>
          <w:sz w:val="22"/>
          <w:szCs w:val="22"/>
        </w:rPr>
        <w:t xml:space="preserve"> vectors to hyper-volumes, but since overall SVM accuracy is lower than overall HMM accuracy, not sure we want to invest time on that.</w:t>
      </w:r>
    </w:p>
    <w:p w14:paraId="5D424A3F" w14:textId="77777777" w:rsidR="0025710C" w:rsidRPr="003D0F00" w:rsidRDefault="0025710C" w:rsidP="0025710C">
      <w:pPr>
        <w:rPr>
          <w:b/>
          <w:bCs/>
        </w:rPr>
      </w:pPr>
    </w:p>
    <w:sectPr w:rsidR="0025710C" w:rsidRPr="003D0F00" w:rsidSect="00DE3A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00"/>
    <w:rsid w:val="00067BBA"/>
    <w:rsid w:val="00251545"/>
    <w:rsid w:val="0025710C"/>
    <w:rsid w:val="00325786"/>
    <w:rsid w:val="00393332"/>
    <w:rsid w:val="003D0F00"/>
    <w:rsid w:val="00653B70"/>
    <w:rsid w:val="00955949"/>
    <w:rsid w:val="009A5385"/>
    <w:rsid w:val="009D26AE"/>
    <w:rsid w:val="00A61503"/>
    <w:rsid w:val="00B550CA"/>
    <w:rsid w:val="00DC148F"/>
    <w:rsid w:val="00DE3A29"/>
    <w:rsid w:val="00FD5619"/>
    <w:rsid w:val="00FF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1A73C"/>
  <w15:chartTrackingRefBased/>
  <w15:docId w15:val="{310A192F-6008-E64F-A623-7827248F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0F0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57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10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Arseneau-Bruneau</dc:creator>
  <cp:keywords/>
  <dc:description/>
  <cp:lastModifiedBy>Isabelle Arseneau-Bruneau</cp:lastModifiedBy>
  <cp:revision>1</cp:revision>
  <dcterms:created xsi:type="dcterms:W3CDTF">2020-06-12T07:21:00Z</dcterms:created>
  <dcterms:modified xsi:type="dcterms:W3CDTF">2020-06-13T01:23:00Z</dcterms:modified>
</cp:coreProperties>
</file>