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64" w:lineRule="auto"/>
      </w:pPr>
      <w:r>
        <w:rPr>
          <w:rFonts w:ascii="맑은 고딕" w:hAnsi="맑은 고딕" w:eastAsia="맑은 고딕" w:cs="맑은 고딕"/>
          <w:b/>
          <w:i w:val="0"/>
          <w:color w:val="1F3A5F"/>
          <w:sz w:val="40"/>
        </w:rPr>
        <w:t>신용 리스크 요약 리포트</w:t>
      </w:r>
    </w:p>
    <w:p>
      <w:pPr>
        <w:keepNext w:val="0"/>
        <w:spacing w:before="0" w:after="40" w:line="264" w:lineRule="auto"/>
      </w:pPr>
      <w:r>
        <w:rPr>
          <w:rFonts w:ascii="맑은 고딕" w:hAnsi="맑은 고딕" w:eastAsia="맑은 고딕" w:cs="맑은 고딕"/>
          <w:b w:val="0"/>
          <w:i w:val="0"/>
          <w:color w:val="555B66"/>
          <w:sz w:val="21"/>
        </w:rPr>
        <w:t>(가상) 한빛정밀(주) · 기준일 {{ as_of }} · 단위 USD</w:t>
      </w:r>
    </w:p>
    <w:p>
      <w:pPr>
        <w:keepNext/>
        <w:pBdr>
          <w:bottom w:val="single" w:sz="6" w:space="1" w:color="0A64B8"/>
        </w:pBdr>
        <w:spacing w:before="120" w:after="60" w:line="264" w:lineRule="auto"/>
      </w:pPr>
      <w:r>
        <w:rPr>
          <w:rFonts w:ascii="맑은 고딕" w:hAnsi="맑은 고딕" w:eastAsia="맑은 고딕" w:cs="맑은 고딕"/>
          <w:b/>
          <w:i w:val="0"/>
          <w:color w:val="1F3A5F"/>
          <w:sz w:val="25"/>
        </w:rPr>
        <w:t>1. 요약 3줄</w:t>
      </w:r>
    </w:p>
    <w:tbl>
      <w:tblPr>
        <w:tblW w:type="auto" w:w="0"/>
        <w:jc w:val="center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  <w:tblLayout w:type="fixed"/>
        <w:tblCellMar>
          <w:top w:w="28" w:type="dxa"/>
          <w:left w:w="90" w:type="dxa"/>
          <w:bottom w:w="28" w:type="dxa"/>
          <w:right w:w="90" w:type="dxa"/>
        </w:tblCellMar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349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0"/>
              </w:rPr>
              <w:t>위험</w:t>
            </w:r>
          </w:p>
        </w:tc>
        <w:tc>
          <w:tcPr>
            <w:tcW w:type="dxa" w:w="8742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{{ summary[0] }}</w:t>
            </w:r>
          </w:p>
        </w:tc>
      </w:tr>
      <w:tr>
        <w:tc>
          <w:tcPr>
            <w:tcW w:type="dxa" w:w="1349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0"/>
              </w:rPr>
              <w:t>권고</w:t>
            </w:r>
          </w:p>
        </w:tc>
        <w:tc>
          <w:tcPr>
            <w:tcW w:type="dxa" w:w="8742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{{ summary[1] }}</w:t>
            </w:r>
          </w:p>
        </w:tc>
      </w:tr>
      <w:tr>
        <w:tc>
          <w:tcPr>
            <w:tcW w:type="dxa" w:w="1349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0"/>
              </w:rPr>
              <w:t>결정 요청</w:t>
            </w:r>
          </w:p>
        </w:tc>
        <w:tc>
          <w:tcPr>
            <w:tcW w:type="dxa" w:w="8742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{{ summary[2] }}</w:t>
            </w:r>
          </w:p>
        </w:tc>
      </w:tr>
    </w:tbl>
    <w:p>
      <w:pPr>
        <w:keepNext/>
        <w:pBdr>
          <w:bottom w:val="single" w:sz="6" w:space="1" w:color="0A64B8"/>
        </w:pBdr>
        <w:spacing w:before="100" w:after="60" w:line="264" w:lineRule="auto"/>
      </w:pPr>
      <w:r>
        <w:rPr>
          <w:rFonts w:ascii="맑은 고딕" w:hAnsi="맑은 고딕" w:eastAsia="맑은 고딕" w:cs="맑은 고딕"/>
          <w:b/>
          <w:i w:val="0"/>
          <w:color w:val="1F3A5F"/>
          <w:sz w:val="25"/>
        </w:rPr>
        <w:t>2. 결정 요청과 승인 주체 (모두 권고 — 사람 승인 전)</w:t>
      </w:r>
    </w:p>
    <w:tbl>
      <w:tblPr>
        <w:tblW w:type="auto" w:w="0"/>
        <w:jc w:val="center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  <w:tblLayout w:type="fixed"/>
        <w:tblCellMar>
          <w:top w:w="28" w:type="dxa"/>
          <w:left w:w="90" w:type="dxa"/>
          <w:bottom w:w="28" w:type="dxa"/>
          <w:right w:w="90" w:type="dxa"/>
        </w:tblCellMar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459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0"/>
              </w:rPr>
              <w:t>조치</w:t>
            </w:r>
          </w:p>
        </w:tc>
        <w:tc>
          <w:tcPr>
            <w:tcW w:type="dxa" w:w="3403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0"/>
              </w:rPr>
              <w:t>승인 주체</w:t>
            </w:r>
          </w:p>
        </w:tc>
        <w:tc>
          <w:tcPr>
            <w:tcW w:type="dxa" w:w="2229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0"/>
              </w:rPr>
              <w:t>상태</w:t>
            </w:r>
          </w:p>
        </w:tc>
      </w:tr>
      <w:tr>
        <w:tc>
          <w:tcPr>
            <w:tcW w:type="dxa" w:w="4459"/>
            <w:shd w:val="clear" w:color="auto" w:fill="FFF4CC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{%tr for a in actions %}</w:t>
            </w:r>
          </w:p>
        </w:tc>
        <w:tc>
          <w:tcPr>
            <w:tcW w:type="dxa" w:w="3403"/>
            <w:shd w:val="clear" w:color="auto" w:fill="FFF4CC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</w:p>
        </w:tc>
        <w:tc>
          <w:tcPr>
            <w:tcW w:type="dxa" w:w="2229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20"/>
              </w:rPr>
            </w:pPr>
          </w:p>
        </w:tc>
      </w:tr>
      <w:tr>
        <w:tc>
          <w:tcPr>
            <w:tcW w:type="dxa" w:w="445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{{ a.action }}</w:t>
            </w:r>
          </w:p>
        </w:tc>
        <w:tc>
          <w:tcPr>
            <w:tcW w:type="dxa" w:w="3403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{{ a.approver }}</w:t>
            </w:r>
          </w:p>
        </w:tc>
        <w:tc>
          <w:tcPr>
            <w:tcW w:type="dxa" w:w="2229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{{ a.status }}</w:t>
            </w:r>
          </w:p>
        </w:tc>
      </w:tr>
      <w:tr>
        <w:tc>
          <w:tcPr>
            <w:tcW w:type="dxa" w:w="4459"/>
            <w:shd w:val="clear" w:color="auto" w:fill="FFF4CC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{%tr endfor %}</w:t>
            </w:r>
          </w:p>
        </w:tc>
        <w:tc>
          <w:tcPr>
            <w:tcW w:type="dxa" w:w="3403"/>
            <w:shd w:val="clear" w:color="auto" w:fill="FFF4CC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20"/>
              </w:rPr>
            </w:pPr>
          </w:p>
        </w:tc>
        <w:tc>
          <w:tcPr>
            <w:tcW w:type="dxa" w:w="2229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20"/>
              </w:rPr>
            </w:pPr>
          </w:p>
        </w:tc>
      </w:tr>
    </w:tbl>
    <w:p>
      <w:pPr>
        <w:keepNext/>
        <w:pBdr>
          <w:bottom w:val="single" w:sz="6" w:space="1" w:color="0A64B8"/>
        </w:pBdr>
        <w:spacing w:before="100" w:after="60" w:line="264" w:lineRule="auto"/>
      </w:pPr>
      <w:r>
        <w:rPr>
          <w:rFonts w:ascii="맑은 고딕" w:hAnsi="맑은 고딕" w:eastAsia="맑은 고딕" w:cs="맑은 고딕"/>
          <w:b/>
          <w:i w:val="0"/>
          <w:color w:val="1F3A5F"/>
          <w:sz w:val="25"/>
        </w:rPr>
        <w:t>3. 주의 바이어 Top 5 (연체확률 pd_30d 순 · 실명 없음)</w:t>
      </w:r>
    </w:p>
    <w:tbl>
      <w:tblPr>
        <w:tblW w:type="auto" w:w="0"/>
        <w:jc w:val="center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  <w:tblLayout w:type="fixed"/>
        <w:tblCellMar>
          <w:top w:w="28" w:type="dxa"/>
          <w:left w:w="90" w:type="dxa"/>
          <w:bottom w:w="28" w:type="dxa"/>
          <w:right w:w="90" w:type="dxa"/>
        </w:tblCellMar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760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buyer_id</w:t>
            </w:r>
          </w:p>
        </w:tc>
        <w:tc>
          <w:tcPr>
            <w:tcW w:type="dxa" w:w="1584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국가</w:t>
            </w:r>
          </w:p>
        </w:tc>
        <w:tc>
          <w:tcPr>
            <w:tcW w:type="dxa" w:w="1467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pd_30d</w:t>
            </w:r>
          </w:p>
        </w:tc>
        <w:tc>
          <w:tcPr>
            <w:tcW w:type="dxa" w:w="1995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미결 잔액(USD)</w:t>
            </w:r>
          </w:p>
        </w:tc>
        <w:tc>
          <w:tcPr>
            <w:tcW w:type="dxa" w:w="1877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최장 연체(일)</w:t>
            </w:r>
          </w:p>
        </w:tc>
        <w:tc>
          <w:tcPr>
            <w:tcW w:type="dxa" w:w="1408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경보 단계</w:t>
            </w:r>
          </w:p>
        </w:tc>
      </w:tr>
      <w:tr>
        <w:tc>
          <w:tcPr>
            <w:tcW w:type="dxa" w:w="1760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{%tr for r in top5 %}</w:t>
            </w:r>
          </w:p>
        </w:tc>
        <w:tc>
          <w:tcPr>
            <w:tcW w:type="dxa" w:w="1584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467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995"/>
            <w:shd w:val="clear" w:color="auto" w:fill="FFF4CC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877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408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</w:tr>
      <w:tr>
        <w:tc>
          <w:tcPr>
            <w:tcW w:type="dxa" w:w="1760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r.buyer_id }}</w:t>
            </w:r>
          </w:p>
        </w:tc>
        <w:tc>
          <w:tcPr>
            <w:tcW w:type="dxa" w:w="1584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r.country }}</w:t>
            </w:r>
          </w:p>
        </w:tc>
        <w:tc>
          <w:tcPr>
            <w:tcW w:type="dxa" w:w="1467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r.pd_30d }}</w:t>
            </w:r>
          </w:p>
        </w:tc>
        <w:tc>
          <w:tcPr>
            <w:tcW w:type="dxa" w:w="1995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r.open_ar_usd }}</w:t>
            </w:r>
          </w:p>
        </w:tc>
        <w:tc>
          <w:tcPr>
            <w:tcW w:type="dxa" w:w="1877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r.oldest_dpd }}</w:t>
            </w:r>
          </w:p>
        </w:tc>
        <w:tc>
          <w:tcPr>
            <w:tcW w:type="dxa" w:w="1408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r.alert }}</w:t>
            </w:r>
          </w:p>
        </w:tc>
      </w:tr>
      <w:tr>
        <w:tc>
          <w:tcPr>
            <w:tcW w:type="dxa" w:w="1760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{%tr endfor %}</w:t>
            </w:r>
          </w:p>
        </w:tc>
        <w:tc>
          <w:tcPr>
            <w:tcW w:type="dxa" w:w="1584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467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995"/>
            <w:shd w:val="clear" w:color="auto" w:fill="FFF4CC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877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408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</w:tr>
    </w:tbl>
    <w:p>
      <w:pPr>
        <w:keepNext/>
        <w:pageBreakBefore/>
        <w:pBdr>
          <w:bottom w:val="single" w:sz="6" w:space="1" w:color="0A64B8"/>
        </w:pBdr>
        <w:spacing w:before="0" w:after="60" w:line="264" w:lineRule="auto"/>
      </w:pPr>
      <w:r>
        <w:rPr>
          <w:rFonts w:ascii="맑은 고딕" w:hAnsi="맑은 고딕" w:eastAsia="맑은 고딕" w:cs="맑은 고딕"/>
          <w:b/>
          <w:i w:val="0"/>
          <w:color w:val="1F3A5F"/>
          <w:sz w:val="25"/>
        </w:rPr>
        <w:t>4. 포트폴리오 현황</w:t>
      </w:r>
    </w:p>
    <w:tbl>
      <w:tblPr>
        <w:tblW w:type="auto" w:w="0"/>
        <w:jc w:val="center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  <w:tblLayout w:type="fixed"/>
        <w:tblCellMar>
          <w:top w:w="28" w:type="dxa"/>
          <w:left w:w="90" w:type="dxa"/>
          <w:bottom w:w="28" w:type="dxa"/>
          <w:right w:w="90" w:type="dxa"/>
        </w:tblCellMar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995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총 미결 채권(USD)</w:t>
            </w:r>
          </w:p>
        </w:tc>
        <w:tc>
          <w:tcPr>
            <w:tcW w:type="dxa" w:w="1525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portfolio.total_ar_usd }}</w:t>
            </w:r>
          </w:p>
        </w:tc>
        <w:tc>
          <w:tcPr>
            <w:tcW w:type="dxa" w:w="1877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원화 환산(원)</w:t>
            </w:r>
          </w:p>
        </w:tc>
        <w:tc>
          <w:tcPr>
            <w:tcW w:type="dxa" w:w="1525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portfolio.total_ar_krw }}</w:t>
            </w:r>
          </w:p>
        </w:tc>
        <w:tc>
          <w:tcPr>
            <w:tcW w:type="dxa" w:w="1525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부보 비중</w:t>
            </w:r>
          </w:p>
        </w:tc>
        <w:tc>
          <w:tcPr>
            <w:tcW w:type="dxa" w:w="1995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portfolio.insured_share }}</w:t>
            </w:r>
          </w:p>
        </w:tc>
      </w:tr>
      <w:tr>
        <w:tc>
          <w:tcPr>
            <w:tcW w:type="dxa" w:w="1995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C등급 잔액(USD)</w:t>
            </w:r>
          </w:p>
        </w:tc>
        <w:tc>
          <w:tcPr>
            <w:tcW w:type="dxa" w:w="1525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portfolio.c_ar_usd }}</w:t>
            </w:r>
          </w:p>
        </w:tc>
        <w:tc>
          <w:tcPr>
            <w:tcW w:type="dxa" w:w="1877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등급별 바이어 수</w:t>
            </w:r>
          </w:p>
        </w:tc>
        <w:tc>
          <w:tcPr>
            <w:tcW w:type="dxa" w:w="5045"/>
            <w:gridSpan w:val="3"/>
          </w:tcPr>
          <w:p>
            <w:pPr>
              <w:spacing w:before="0" w:after="0" w:line="264" w:lineRule="auto"/>
              <w:jc w:val="lef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S {{ portfolio.grade_counts.S }} · A {{ portfolio.grade_counts.A }} · B {{ portfolio.grade_counts.B }} · C {{ portfolio.grade_counts.C }}</w:t>
            </w:r>
          </w:p>
        </w:tc>
      </w:tr>
    </w:tbl>
    <w:p>
      <w:pPr>
        <w:keepNext w:val="0"/>
        <w:spacing w:before="40" w:after="0" w:line="264" w:lineRule="auto"/>
      </w:pPr>
      <w:r>
        <w:rPr>
          <w:rFonts w:ascii="맑은 고딕" w:hAnsi="맑은 고딕" w:eastAsia="맑은 고딕" w:cs="맑은 고딕"/>
          <w:b w:val="0"/>
          <w:i w:val="0"/>
          <w:sz w:val="18"/>
        </w:rPr>
        <w:t>{{ sections.portfolio }}</w:t>
      </w:r>
    </w:p>
    <w:p>
      <w:pPr>
        <w:keepNext/>
        <w:pBdr>
          <w:bottom w:val="single" w:sz="6" w:space="1" w:color="0A64B8"/>
        </w:pBdr>
        <w:spacing w:before="100" w:after="60" w:line="264" w:lineRule="auto"/>
      </w:pPr>
      <w:r>
        <w:rPr>
          <w:rFonts w:ascii="맑은 고딕" w:hAnsi="맑은 고딕" w:eastAsia="맑은 고딕" w:cs="맑은 고딕"/>
          <w:b/>
          <w:i w:val="0"/>
          <w:color w:val="1F3A5F"/>
          <w:sz w:val="25"/>
        </w:rPr>
        <w:t>5. 한도 재배정 (한도 최적화 결과 · 모두 권고)</w:t>
      </w:r>
    </w:p>
    <w:tbl>
      <w:tblPr>
        <w:tblW w:type="auto" w:w="0"/>
        <w:jc w:val="center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  <w:tblLayout w:type="fixed"/>
        <w:tblCellMar>
          <w:top w:w="28" w:type="dxa"/>
          <w:left w:w="90" w:type="dxa"/>
          <w:bottom w:w="28" w:type="dxa"/>
          <w:right w:w="90" w:type="dxa"/>
        </w:tblCellMar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995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현행 한도 합계</w:t>
            </w:r>
          </w:p>
        </w:tc>
        <w:tc>
          <w:tcPr>
            <w:tcW w:type="dxa" w:w="1525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limits.current_eligible }}</w:t>
            </w:r>
          </w:p>
        </w:tc>
        <w:tc>
          <w:tcPr>
            <w:tcW w:type="dxa" w:w="1760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제안 한도 합계</w:t>
            </w:r>
          </w:p>
        </w:tc>
        <w:tc>
          <w:tcPr>
            <w:tcW w:type="dxa" w:w="1408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limits.proposed }}</w:t>
            </w:r>
          </w:p>
        </w:tc>
        <w:tc>
          <w:tcPr>
            <w:tcW w:type="dxa" w:w="1760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목적함수</w:t>
            </w:r>
          </w:p>
        </w:tc>
        <w:tc>
          <w:tcPr>
            <w:tcW w:type="dxa" w:w="1995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limits.objective }}</w:t>
            </w:r>
          </w:p>
        </w:tc>
      </w:tr>
      <w:tr>
        <w:tc>
          <w:tcPr>
            <w:tcW w:type="dxa" w:w="1995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30% 이상 감액(곳)</w:t>
            </w:r>
          </w:p>
        </w:tc>
        <w:tc>
          <w:tcPr>
            <w:tcW w:type="dxa" w:w="1525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limits.cut30 }}</w:t>
            </w:r>
          </w:p>
        </w:tc>
        <w:tc>
          <w:tcPr>
            <w:tcW w:type="dxa" w:w="1760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증액(곳)</w:t>
            </w:r>
          </w:p>
        </w:tc>
        <w:tc>
          <w:tcPr>
            <w:tcW w:type="dxa" w:w="1408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limits.increase }}</w:t>
            </w:r>
          </w:p>
        </w:tc>
        <w:tc>
          <w:tcPr>
            <w:tcW w:type="dxa" w:w="1760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연 기대손실 절감</w:t>
            </w:r>
          </w:p>
        </w:tc>
        <w:tc>
          <w:tcPr>
            <w:tcW w:type="dxa" w:w="1995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S0 {{ savings.s0 }} · S3 {{ savings.s3 }}</w:t>
            </w:r>
          </w:p>
        </w:tc>
      </w:tr>
      <w:tr>
        <w:tc>
          <w:tcPr>
            <w:tcW w:type="dxa" w:w="1995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걸린 제약 · 잠재가격</w:t>
            </w:r>
          </w:p>
        </w:tc>
        <w:tc>
          <w:tcPr>
            <w:tcW w:type="dxa" w:w="8448"/>
            <w:gridSpan w:val="5"/>
          </w:tcPr>
          <w:p>
            <w:pPr>
              <w:spacing w:before="0" w:after="0" w:line="264" w:lineRule="auto"/>
              <w:jc w:val="lef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총허용익스포저 {{ limits.binding.total_cap }} · 나이지리아 국가 한도 {{ limits.binding.ctry_NGA }}</w:t>
            </w:r>
          </w:p>
        </w:tc>
      </w:tr>
    </w:tbl>
    <w:p>
      <w:pPr>
        <w:keepNext w:val="0"/>
        <w:spacing w:before="40" w:after="0" w:line="264" w:lineRule="auto"/>
      </w:pPr>
      <w:r>
        <w:rPr>
          <w:rFonts w:ascii="맑은 고딕" w:hAnsi="맑은 고딕" w:eastAsia="맑은 고딕" w:cs="맑은 고딕"/>
          <w:b w:val="0"/>
          <w:i w:val="0"/>
          <w:sz w:val="18"/>
        </w:rPr>
        <w:t>{{ sections.limits }}</w:t>
      </w:r>
    </w:p>
    <w:p>
      <w:pPr>
        <w:keepNext/>
        <w:pBdr>
          <w:bottom w:val="single" w:sz="6" w:space="1" w:color="0A64B8"/>
        </w:pBdr>
        <w:spacing w:before="100" w:after="60" w:line="264" w:lineRule="auto"/>
      </w:pPr>
      <w:r>
        <w:rPr>
          <w:rFonts w:ascii="맑은 고딕" w:hAnsi="맑은 고딕" w:eastAsia="맑은 고딕" w:cs="맑은 고딕"/>
          <w:b/>
          <w:i w:val="0"/>
          <w:color w:val="1F3A5F"/>
          <w:sz w:val="25"/>
        </w:rPr>
        <w:t>6. 시나리오별 예상손실 (가정 시나리오에서의 추정)</w:t>
      </w:r>
    </w:p>
    <w:tbl>
      <w:tblPr>
        <w:tblW w:type="auto" w:w="0"/>
        <w:jc w:val="center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  <w:tblLayout w:type="fixed"/>
        <w:tblCellMar>
          <w:top w:w="28" w:type="dxa"/>
          <w:left w:w="90" w:type="dxa"/>
          <w:bottom w:w="28" w:type="dxa"/>
          <w:right w:w="90" w:type="dxa"/>
        </w:tblCellMar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877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시나리오</w:t>
            </w:r>
          </w:p>
        </w:tc>
        <w:tc>
          <w:tcPr>
            <w:tcW w:type="dxa" w:w="1408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PD 배수</w:t>
            </w:r>
          </w:p>
        </w:tc>
        <w:tc>
          <w:tcPr>
            <w:tcW w:type="dxa" w:w="1525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원/달러</w:t>
            </w:r>
          </w:p>
        </w:tc>
        <w:tc>
          <w:tcPr>
            <w:tcW w:type="dxa" w:w="1760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공식 EL(USD)</w:t>
            </w:r>
          </w:p>
        </w:tc>
        <w:tc>
          <w:tcPr>
            <w:tcW w:type="dxa" w:w="1760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몬테카를로 P95</w:t>
            </w:r>
          </w:p>
        </w:tc>
        <w:tc>
          <w:tcPr>
            <w:tcW w:type="dxa" w:w="1760"/>
            <w:shd w:val="clear" w:color="auto" w:fill="D9E6F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몬테카를로 P99</w:t>
            </w:r>
          </w:p>
        </w:tc>
      </w:tr>
      <w:tr>
        <w:tc>
          <w:tcPr>
            <w:tcW w:type="dxa" w:w="1877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{%tr for sid, s in scenarios.items() %}</w:t>
            </w:r>
          </w:p>
        </w:tc>
        <w:tc>
          <w:tcPr>
            <w:tcW w:type="dxa" w:w="1408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525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760"/>
            <w:shd w:val="clear" w:color="auto" w:fill="FFF4CC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760"/>
            <w:shd w:val="clear" w:color="auto" w:fill="FFF4CC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760"/>
            <w:shd w:val="clear" w:color="auto" w:fill="FFF4CC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</w:p>
        </w:tc>
      </w:tr>
      <w:tr>
        <w:tc>
          <w:tcPr>
            <w:tcW w:type="dxa" w:w="1877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sid }} {{ s.name_ko }}</w:t>
            </w:r>
          </w:p>
        </w:tc>
        <w:tc>
          <w:tcPr>
            <w:tcW w:type="dxa" w:w="1408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s.pd_multiplier }}</w:t>
            </w:r>
          </w:p>
        </w:tc>
        <w:tc>
          <w:tcPr>
            <w:tcW w:type="dxa" w:w="1525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s.usd_krw_level }}</w:t>
            </w:r>
          </w:p>
        </w:tc>
        <w:tc>
          <w:tcPr>
            <w:tcW w:type="dxa" w:w="1760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s.el_usd }}</w:t>
            </w:r>
          </w:p>
        </w:tc>
        <w:tc>
          <w:tcPr>
            <w:tcW w:type="dxa" w:w="1760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s.mc_p95_usd }}</w:t>
            </w:r>
          </w:p>
        </w:tc>
        <w:tc>
          <w:tcPr>
            <w:tcW w:type="dxa" w:w="1760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s.mc_p99_usd }}</w:t>
            </w:r>
          </w:p>
        </w:tc>
      </w:tr>
      <w:tr>
        <w:tc>
          <w:tcPr>
            <w:tcW w:type="dxa" w:w="1877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{%tr endfor %}</w:t>
            </w:r>
          </w:p>
        </w:tc>
        <w:tc>
          <w:tcPr>
            <w:tcW w:type="dxa" w:w="1408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525"/>
            <w:shd w:val="clear" w:color="auto" w:fill="FFF4CC"/>
          </w:tcPr>
          <w:p>
            <w:pPr>
              <w:spacing w:before="0" w:after="0" w:line="264" w:lineRule="auto"/>
              <w:jc w:val="center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760"/>
            <w:shd w:val="clear" w:color="auto" w:fill="FFF4CC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760"/>
            <w:shd w:val="clear" w:color="auto" w:fill="FFF4CC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760"/>
            <w:shd w:val="clear" w:color="auto" w:fill="FFF4CC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</w:p>
        </w:tc>
      </w:tr>
    </w:tbl>
    <w:p>
      <w:pPr>
        <w:keepNext w:val="0"/>
        <w:spacing w:before="40" w:after="0" w:line="264" w:lineRule="auto"/>
      </w:pPr>
      <w:r>
        <w:rPr>
          <w:rFonts w:ascii="맑은 고딕" w:hAnsi="맑은 고딕" w:eastAsia="맑은 고딕" w:cs="맑은 고딕"/>
          <w:b w:val="0"/>
          <w:i w:val="0"/>
          <w:sz w:val="18"/>
        </w:rPr>
        <w:t>{{ sections.scenarios }}</w:t>
      </w:r>
    </w:p>
    <w:p>
      <w:pPr>
        <w:keepNext/>
        <w:pBdr>
          <w:bottom w:val="single" w:sz="6" w:space="1" w:color="0A64B8"/>
        </w:pBdr>
        <w:spacing w:before="100" w:after="60" w:line="264" w:lineRule="auto"/>
      </w:pPr>
      <w:r>
        <w:rPr>
          <w:rFonts w:ascii="맑은 고딕" w:hAnsi="맑은 고딕" w:eastAsia="맑은 고딕" w:cs="맑은 고딕"/>
          <w:b/>
          <w:i w:val="0"/>
          <w:color w:val="1F3A5F"/>
          <w:sz w:val="25"/>
        </w:rPr>
        <w:t>7. 조기경보 현황 (선적 보류와 통지는 권고)</w:t>
      </w:r>
    </w:p>
    <w:tbl>
      <w:tblPr>
        <w:tblW w:type="auto" w:w="0"/>
        <w:jc w:val="center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  <w:tblLayout w:type="fixed"/>
        <w:tblCellMar>
          <w:top w:w="28" w:type="dxa"/>
          <w:left w:w="90" w:type="dxa"/>
          <w:bottom w:w="28" w:type="dxa"/>
          <w:right w:w="90" w:type="dxa"/>
        </w:tblCellMar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760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D+30 이상(건)</w:t>
            </w:r>
          </w:p>
        </w:tc>
        <w:tc>
          <w:tcPr>
            <w:tcW w:type="dxa" w:w="1291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alerts.d30.count }}</w:t>
            </w:r>
          </w:p>
        </w:tc>
        <w:tc>
          <w:tcPr>
            <w:tcW w:type="dxa" w:w="2112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D+30 이상 금액(USD)</w:t>
            </w:r>
          </w:p>
        </w:tc>
        <w:tc>
          <w:tcPr>
            <w:tcW w:type="dxa" w:w="1643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alerts.d30.amount_usd }}</w:t>
            </w:r>
          </w:p>
        </w:tc>
        <w:tc>
          <w:tcPr>
            <w:tcW w:type="dxa" w:w="1995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선적 보류 바이어(곳)</w:t>
            </w:r>
          </w:p>
        </w:tc>
        <w:tc>
          <w:tcPr>
            <w:tcW w:type="dxa" w:w="1643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alerts.ship_hold }}</w:t>
            </w:r>
          </w:p>
        </w:tc>
      </w:tr>
      <w:tr>
        <w:tc>
          <w:tcPr>
            <w:tcW w:type="dxa" w:w="1760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통지 기한 임박(건)</w:t>
            </w:r>
          </w:p>
        </w:tc>
        <w:tc>
          <w:tcPr>
            <w:tcW w:type="dxa" w:w="1291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alerts.notice_soon }}</w:t>
            </w:r>
          </w:p>
        </w:tc>
        <w:tc>
          <w:tcPr>
            <w:tcW w:type="dxa" w:w="2112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18"/>
              </w:rPr>
              <w:t>통지 기한 경과(건)</w:t>
            </w:r>
          </w:p>
        </w:tc>
        <w:tc>
          <w:tcPr>
            <w:tcW w:type="dxa" w:w="1643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{{ alerts.notice_overdue }}</w:t>
            </w:r>
          </w:p>
        </w:tc>
        <w:tc>
          <w:tcPr>
            <w:tcW w:type="dxa" w:w="1995"/>
            <w:shd w:val="clear" w:color="auto" w:fill="EEF3F9"/>
          </w:tcPr>
          <w:p>
            <w:pPr>
              <w:spacing w:before="0" w:after="0" w:line="264" w:lineRule="auto"/>
              <w:rPr>
                <w:rFonts w:ascii="맑은 고딕" w:hAnsi="맑은 고딕" w:eastAsia="맑은 고딕" w:cs="맑은 고딕"/>
                <w:sz w:val="18"/>
              </w:rPr>
            </w:pPr>
          </w:p>
        </w:tc>
        <w:tc>
          <w:tcPr>
            <w:tcW w:type="dxa" w:w="1643"/>
          </w:tcPr>
          <w:p>
            <w:pPr>
              <w:spacing w:before="0" w:after="0" w:line="264" w:lineRule="auto"/>
              <w:jc w:val="right"/>
              <w:rPr>
                <w:rFonts w:ascii="맑은 고딕" w:hAnsi="맑은 고딕" w:eastAsia="맑은 고딕" w:cs="맑은 고딕"/>
                <w:sz w:val="18"/>
              </w:rPr>
            </w:pPr>
          </w:p>
        </w:tc>
      </w:tr>
    </w:tbl>
    <w:p>
      <w:pPr>
        <w:keepNext w:val="0"/>
        <w:spacing w:before="40" w:after="0" w:line="264" w:lineRule="auto"/>
      </w:pPr>
      <w:r>
        <w:rPr>
          <w:rFonts w:ascii="맑은 고딕" w:hAnsi="맑은 고딕" w:eastAsia="맑은 고딕" w:cs="맑은 고딕"/>
          <w:b w:val="0"/>
          <w:i w:val="0"/>
          <w:sz w:val="18"/>
        </w:rPr>
        <w:t>{{ sections.alerts }}</w:t>
      </w:r>
    </w:p>
    <w:p>
      <w:pPr>
        <w:keepNext/>
        <w:pBdr>
          <w:bottom w:val="single" w:sz="6" w:space="1" w:color="0A64B8"/>
        </w:pBdr>
        <w:spacing w:before="100" w:after="60" w:line="264" w:lineRule="auto"/>
      </w:pPr>
      <w:r>
        <w:rPr>
          <w:rFonts w:ascii="맑은 고딕" w:hAnsi="맑은 고딕" w:eastAsia="맑은 고딕" w:cs="맑은 고딕"/>
          <w:b/>
          <w:i w:val="0"/>
          <w:color w:val="1F3A5F"/>
          <w:sz w:val="25"/>
        </w:rPr>
        <w:t>8. 가정 · 한계</w:t>
      </w:r>
    </w:p>
    <w:p>
      <w:pPr>
        <w:keepNext w:val="0"/>
        <w:spacing w:before="0" w:after="0" w:line="264" w:lineRule="auto"/>
      </w:pPr>
      <w:r>
        <w:rPr>
          <w:rFonts w:ascii="맑은 고딕" w:hAnsi="맑은 고딕" w:eastAsia="맑은 고딕" w:cs="맑은 고딕"/>
          <w:b w:val="0"/>
          <w:i w:val="0"/>
          <w:sz w:val="21"/>
        </w:rPr>
        <w:t>{%p for x in assumptions %}</w:t>
      </w:r>
    </w:p>
    <w:p>
      <w:pPr>
        <w:keepNext w:val="0"/>
        <w:spacing w:before="0" w:after="0" w:line="264" w:lineRule="auto"/>
      </w:pPr>
      <w:r>
        <w:rPr>
          <w:rFonts w:ascii="맑은 고딕" w:hAnsi="맑은 고딕" w:eastAsia="맑은 고딕" w:cs="맑은 고딕"/>
          <w:b w:val="0"/>
          <w:i w:val="0"/>
          <w:sz w:val="18"/>
        </w:rPr>
        <w:t>• {{ x }}</w:t>
      </w:r>
    </w:p>
    <w:p>
      <w:pPr>
        <w:keepNext w:val="0"/>
        <w:spacing w:before="0" w:after="0" w:line="264" w:lineRule="auto"/>
      </w:pPr>
      <w:r>
        <w:rPr>
          <w:rFonts w:ascii="맑은 고딕" w:hAnsi="맑은 고딕" w:eastAsia="맑은 고딕" w:cs="맑은 고딕"/>
          <w:b w:val="0"/>
          <w:i w:val="0"/>
          <w:sz w:val="21"/>
        </w:rPr>
        <w:t>{%p endfor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794" w:left="907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92" w:val="right"/>
      </w:tabs>
    </w:pPr>
    <w:r/>
    <w:r>
      <w:rPr>
        <w:rFonts w:ascii="맑은 고딕" w:hAnsi="맑은 고딕" w:eastAsia="맑은 고딕" w:cs="맑은 고딕"/>
        <w:b w:val="0"/>
        <w:i w:val="0"/>
        <w:color w:val="555B66"/>
        <w:sz w:val="17"/>
      </w:rPr>
      <w:t>본 문서는 AI가 작성한 초안이며 담당자 검토 후 확정함 · 표의 숫자는 report_input.json(기준일 {{ as_of }})에서 코드가 채움</w:t>
    </w:r>
    <w:r>
      <w:rPr>
        <w:rFonts w:ascii="맑은 고딕" w:hAnsi="맑은 고딕" w:eastAsia="맑은 고딕" w:cs="맑은 고딕"/>
        <w:b w:val="0"/>
        <w:i w:val="0"/>
        <w:sz w:val="17"/>
      </w:rPr>
      <w:tab/>
    </w:r>
    <w:r>
      <w:rPr>
        <w:rFonts w:ascii="맑은 고딕" w:hAnsi="맑은 고딕" w:eastAsia="맑은 고딕" w:cs="맑은 고딕"/>
        <w:b w:val="0"/>
        <w:i w:val="0"/>
        <w:color w:val="555B66"/>
        <w:sz w:val="17"/>
      </w:rPr>
      <w:fldChar w:fldCharType="begin"/>
    </w:r>
    <w:r>
      <w:rPr>
        <w:rFonts w:ascii="맑은 고딕" w:hAnsi="맑은 고딕" w:eastAsia="맑은 고딕" w:cs="맑은 고딕"/>
        <w:b w:val="0"/>
        <w:i w:val="0"/>
        <w:color w:val="555B66"/>
        <w:sz w:val="17"/>
      </w:rPr>
      <w:instrText xml:space="preserve"> PAGE </w:instrText>
    </w:r>
    <w:r>
      <w:rPr>
        <w:rFonts w:ascii="맑은 고딕" w:hAnsi="맑은 고딕" w:eastAsia="맑은 고딕" w:cs="맑은 고딕"/>
        <w:b w:val="0"/>
        <w:i w:val="0"/>
        <w:color w:val="555B66"/>
        <w:sz w:val="17"/>
      </w:rPr>
      <w:fldChar w:fldCharType="end"/>
    </w:r>
  </w:p>
  <w:p>
    <w:pPr/>
    <w:r>
      <w:rPr>
        <w:rFonts w:ascii="맑은 고딕" w:hAnsi="맑은 고딕" w:eastAsia="맑은 고딕" w:cs="맑은 고딕"/>
        <w:b w:val="0"/>
        <w:i w:val="0"/>
        <w:color w:val="555B66"/>
        <w:sz w:val="16"/>
      </w:rPr>
      <w:t>환율 {{ basis.fx }} · {{ basis.fx_krw }} · 금리 {{ basis.rate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92" w:val="right"/>
      </w:tabs>
    </w:pPr>
    <w:r/>
    <w:r>
      <w:rPr>
        <w:rFonts w:ascii="맑은 고딕" w:hAnsi="맑은 고딕" w:eastAsia="맑은 고딕" w:cs="맑은 고딕"/>
        <w:b w:val="0"/>
        <w:i w:val="0"/>
        <w:color w:val="555B66"/>
        <w:sz w:val="18"/>
      </w:rPr>
      <w:t>신용 리스크 요약 리포트 · (가상) 한빛정밀(주)</w:t>
    </w:r>
    <w:r>
      <w:rPr>
        <w:rFonts w:ascii="맑은 고딕" w:hAnsi="맑은 고딕" w:eastAsia="맑은 고딕" w:cs="맑은 고딕"/>
        <w:b w:val="0"/>
        <w:i w:val="0"/>
        <w:sz w:val="18"/>
      </w:rPr>
      <w:tab/>
    </w:r>
    <w:r>
      <w:rPr>
        <w:rFonts w:ascii="맑은 고딕" w:hAnsi="맑은 고딕" w:eastAsia="맑은 고딕" w:cs="맑은 고딕"/>
        <w:b/>
        <w:i w:val="0"/>
        <w:color w:val="A64B07"/>
        <w:sz w:val="20"/>
      </w:rPr>
      <w:t>AI 작성 초안 — 담당자 검토 후 확정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