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DFC2" w14:textId="56CF68EA" w:rsidR="005A220E" w:rsidRPr="00FE43BB" w:rsidRDefault="00000000" w:rsidP="00FE43BB">
      <w:pPr>
        <w:pStyle w:val="FirstParagraph"/>
        <w:rPr>
          <w:lang w:val="ru-RU"/>
        </w:rPr>
      </w:pPr>
      <w:bookmarkStart w:id="0" w:name="X6149989124ce9dd31a5c1ee47f9477980676d84"/>
      <w:bookmarkStart w:id="1" w:name="content"/>
      <w:bookmarkStart w:id="2" w:name="введение"/>
      <w:r>
        <w:t xml:space="preserve">Проблема взаимосвязи дискурсивной организации текста и механизмов вывода адресата приобретает актуальность в эпоху информационного перегруза и манипулятивных аргументов. Аргументативный дискурс сочетает явные и скрытые способы обоснования позиций, что накладывает высокие требования на когнитивно-коммуникативные процедуры понимания (Grice 1975; Sperber &amp; Wilson 1986; Levinson 1983). Известно, что понимание дискурса опирается не только на семантику отдельных высказываний, но и на глобальные когерентные схемы и риторические связи между сегментами текста (Halliday &amp; Hasan 1976; Mann &amp; Thompson 1988; Schiffrin 1987). В то же время теории аргументации (Toulmin 1958; Perelman &amp; Olbrechts-Tyteca 1969; van Eemeren &amp; Grootendorst 1984) подчёркивают наличие в ходе убеждения множественных посылок, часто скрытых, и задают моделирующие схемы обоснования. Однако связь дискурсивной структуры и inferential-процедур остаётся слабо разработанной. В литературе, с одной стороны, обсуждаются риторические и когерентностные отношения внутри текста (например, Asher &amp; Lascarides 2003; Kehler 2002; Taboada &amp; Mann 2006), а с другой – когнитивно-прагматические механизмы вывода (Sperber &amp; Wilson 1986; Carston 2002; Blakemore 1987). Редко анализируется, как последовательность сегментов и маркеры текста направляют построение аргументов и устраивают конкурирующие выводы. Эта статья заполняет обозначенную лакуну: исследуется, как дискурсивная структура аргументативного текста влияет на запуск, ход и ограничения инференции при интерпретации. Исследовательский вопрос сформулирован так: </w:t>
      </w:r>
      <w:r>
        <w:rPr>
          <w:i/>
          <w:iCs/>
        </w:rPr>
        <w:t>Как организация аргументативного дискурса влияет на начало, развитие и границы инференции при понимании текста?</w:t>
      </w:r>
      <w:r>
        <w:t xml:space="preserve"> В качестве рабочей гипотезы предполагается, что структура аргументативного дискурса задаёт конфигурацию смысловых связей, внутри которой инференция становится управляемым, но не полностью предсказуемым процессом. Мы предполагаем, что наибольшие трудности возникают там, где аргумент базируется на опущенных посылках, конкурирующих основаниях или неявных переходах между локальной и глобальной связностью. Для проверки гипотезы проведён дискурсно-прагматический анализ примеров из реальных аргументативных текстов, позволяющий выявить типичные проблемные зоны и механизмы вывода. Научная новизна работы состоит в синтетическом рассмотрении аргументативной структуры через призму когнитивной теории инференции, уточнении роли дискурсивных маркеров и организации текста в механизмах рассуждения. Предмет анализа – механизм интерпретации аргументов в дискурсивной структуре. Основная цель – показать, каким образом композиция текста и средств связывания направляет построение выводов.</w:t>
      </w:r>
      <w:bookmarkStart w:id="3" w:name="обзор-исследований"/>
      <w:bookmarkEnd w:id="2"/>
    </w:p>
    <w:p w14:paraId="7BE0D264" w14:textId="77777777" w:rsidR="005A220E" w:rsidRDefault="00000000">
      <w:pPr>
        <w:pStyle w:val="FirstParagraph"/>
      </w:pPr>
      <w:r>
        <w:t xml:space="preserve">В теории дискурса принято различать микроструктуру (связи между близкими высказываниями) и макроструктуру текста (общая организация, темы, силлогистические схемы). Так, ван Дейк (1980) подчеркивал роль «макроструктур» – когнитивных схем, задающих ожидания в понимании текста – тогда как локальная когезия опирается на референтные и логические связи между предложениями. Холлидей и Хасан (1976) дали классическое описание когезивных средств (соединители, анафора, лексические связи) как основы текстовой связности. Роторовую организацию текста (coherence) анализируют модели типа Rhetorical Structure Theory (Mann &amp; Thompson 1988), которые устанавливают иерархию риторических реляций (например, «утверждение–причина», «утверждение–уступка» и т.п.) между сегментами. Исследования в области прагматики </w:t>
      </w:r>
      <w:r>
        <w:lastRenderedPageBreak/>
        <w:t>выявили, что семантика высказываний часто дополняется инференциями: теория «конверсасации» Грайса (1975) связала появление импликатур с кооперативными принципами общения; теория релевантности (Sperber &amp; Wilson 1986) определяет понимание как процесс, направляемый ожиданиями максимальной релевантности, когда адресат активно восстанавливает недосказанный смысл. Карастон (2002) развивает различение экспликатур и импликатур при объяснении, сколько информации передаётся явно и сколько выводится. Наряду с этим исследования пресуппозиций (Stalnaker 1974; Strawson 1973) показывают, как фоновый контекст влечёт за собой «предполагаемую» информацию, которую адресат принимает априорно. В риторическом аспекте теория аргументации описывает составные части обоснования: так, модель Тулмина (1958) вводит категории «тезис», «данные», «основание» (warrant) и «дополнительные гарантии». Согласно баршанлогике Перельмана и Ольбрехтс-Тайтека (1969), убеждение часто строится на широкой системе подразумеваемых аксиом, «новая риторика» акцентирует роль аудитории и консенсуса. В прагматико-диалектической теории аргументации ван Эмерена и Грутендорста (1984) подчеркивается, что в дискурсе участники стремятся разрешить спор через обмен речевыми актами, при этом аналитическая реконструкция аргументации должна учитывать как явные, так и скрытые посылки. В частности, энтимема рассматривается как сокращённый силлогизм с невыраженной посылкой – «силлогизм, в котором одна посылка обычно подразумевается»</w:t>
      </w:r>
      <w:hyperlink r:id="rId5" w:anchor=":~:text=">
        <w:r>
          <w:rPr>
            <w:rStyle w:val="af"/>
          </w:rPr>
          <w:t>[1]</w:t>
        </w:r>
      </w:hyperlink>
      <w:r>
        <w:t>. Ряд авторов выделяет, что аргументативная структура – не просто линейное следование высказываний, а конфигурация смысловых связей, в рамках которой на адресата возлагается задача донапросить пропущенные звенья. Так, Thompson и Mann (1987) подчеркивают: маркеры уступки «хотя», «но» сами по себе могут сигнализировать одну и ту же реляцию (concession) между сегментами, представляя разные варианты реализации одной дискурсивной связи</w:t>
      </w:r>
      <w:hyperlink r:id="rId6" w:anchor=":~:text=Concession">
        <w:r>
          <w:rPr>
            <w:rStyle w:val="af"/>
          </w:rPr>
          <w:t>[2]</w:t>
        </w:r>
      </w:hyperlink>
      <w:r>
        <w:t>. Итерации исследований показывают, что дискурсивные маркеры помогают адресату выбрать предпочтительную трактовку, но не устраняют альтернативные выводы (Fraser 1999; Blakemore 1987). Таким образом, существующие подходы дополняют друг друга: теория дискурса описывает структуру текста; прагматика – внутренние правила вывода; аргументация – логику обоснования. Однако слабым местом прежних работ является недостаток внимания к тому, как именно композиция текста (порядок сегментов, иерархия доводов, коннекторы и т.п.) контролирует динамику инференции. Наша позиция заключается в том, что понимание аргументов требует комбинированной дискурсивно-прагматической модели, учитывающей и макро-схемы аргументации, и динамику локальных выводов. Мы постулируем, что структура аргументативного дискурса задаёт предпочтительную конфигурацию инференций, формируя «каркас» смысловых связей, внутри которого адресат ведёт перестроение недостроенного вывода (Toulmin 1958; van Eemeren &amp; Grootendorst 1984).</w:t>
      </w:r>
    </w:p>
    <w:p w14:paraId="066296AE" w14:textId="77777777" w:rsidR="005A220E" w:rsidRDefault="00000000">
      <w:pPr>
        <w:pStyle w:val="FirstParagraph"/>
      </w:pPr>
      <w:bookmarkStart w:id="4" w:name="материал-и-метод"/>
      <w:bookmarkEnd w:id="3"/>
      <w:r>
        <w:t xml:space="preserve">Материалом исследования послужили тексты открытых аналитических публикаций с выраженной аргументационной структурой. В частности, проанализированы фрагменты экономических колонок журнала </w:t>
      </w:r>
      <w:r>
        <w:rPr>
          <w:b/>
          <w:bCs/>
        </w:rPr>
        <w:t>«Эксперт»</w:t>
      </w:r>
      <w:r>
        <w:t xml:space="preserve"> (декабрь 2025) и экспертной колонки на сайте Волгоградского института управления – филиала РАНХиГС (февраль 2026). Критериями отбора были наличие четко сформулированного тезиса (стороннего мнения), сопровождаемого доводами и контрдоводами, а также богатое использование дискурсивных маркеров («однако», «поэтому», «исходя из этого» и др.) и переключений </w:t>
      </w:r>
      <w:r>
        <w:lastRenderedPageBreak/>
        <w:t>перспективы (цитаты экспертов, аргументированное возражение). Выбранные тексты удовлетворяли этим критериям: они содержали мультиперспективное обсуждение экономических проблем и демонстрировали типичные аргументативные ходы (возражения, уступки, усиления, аналогии). Дискурсивные единицы анализа – предложения и выделенные сегменты (абзацы, тезисно-аргументативные блоки). В качестве аргументативных единиц выделены тезис (основная точка зрения автора/эксперта), основания (доказательства, факты, примеры) и заключение. Для распознавания дискурсивных отношений использовались маркеры (конъюнкции, вводные слова, интонационные паузы) и синтаксические критерии (подчинение, пересказ, цитирование); аргументативные узлы определялись по коллокациям («потому что», «так как», «следовательно», «то есть») и типичным структурам (вопрос-ответ, «можно ли считать… или же…»). Для идентификации инференциальных напряжений обращали внимание на участки текста с пропущенными связками (энтимемы), противоречиями между посылкой и выводом или на границе локальной/глобальной связи. Анализ проводился качественно: сопоставление дискурсивных признаков и семантического содержания показало, где адресат устанавливает связь легко, а где необходима активная реконструкция смысла. Комплексный подход включал дискурс-анализ (выделение риторических отношений), прагматический анализ (импликатуры, пресуппозиции) и анализ аргументационных стратегий (выявление скрытых предпосылок и конфликтов доводов). Описание методики воспроизводимо: анализ нацелен на сопоставление сегментов с их функцией в логической схеме аргументации, выявление причинно-следственных связей и неопределённостей в трактовке текста.</w:t>
      </w:r>
    </w:p>
    <w:p w14:paraId="6F5F6A43" w14:textId="77777777" w:rsidR="005A220E" w:rsidRDefault="00000000">
      <w:pPr>
        <w:pStyle w:val="FirstParagraph"/>
      </w:pPr>
      <w:bookmarkStart w:id="5" w:name="аналитическая-часть"/>
      <w:bookmarkEnd w:id="4"/>
      <w:r>
        <w:t>В результате анализа были выявлены несколько типов дискурсивных конструкций, влияющих на процесс инференции. Ниже приведены характерные примеры с комментарием.</w:t>
      </w:r>
    </w:p>
    <w:p w14:paraId="3A7C8700" w14:textId="77777777" w:rsidR="005A220E" w:rsidRDefault="00000000">
      <w:pPr>
        <w:pStyle w:val="a0"/>
      </w:pPr>
      <w:r>
        <w:rPr>
          <w:b/>
          <w:bCs/>
        </w:rPr>
        <w:t>1. Скрытые посылки (энтимемы).</w:t>
      </w:r>
      <w:r>
        <w:t xml:space="preserve"> В изученном материале нередки случаи, когда аргумент в тексте строится как неполное умозаключение. Рассмотрим фрагмент из «Эксперта»</w:t>
      </w:r>
      <w:hyperlink r:id="rId7" w:anchor=":~:text=%D0%9F%D0%BE%C2%A0%D0%B5%D0%B3%D0%BE%20%D1%81%D0%BB%D0%BE%D0%B2%D0%B0%D0%BC%2C%20%D0%B2%C2%A0%D0%BF%D1%80%D0%B5%D0%B4%D1%8B%D0%B4%D1%83%D1%89%D0%B8%D0%B5%20%D0%B3%D0%BE%D0%B4%D1%8B%20%D1%80%D0%BE%D1%81%D1%81%D0%B8%D0%B9%D1%81%D0%BA%D0%B8%D0%B9,%D0%B4%D0%BE%D0%BB%D0%B6%D0%BD%D0%BE%20%D1%81%D1%84%D0%BE%D0%BA%D1%83%D1%81%D0%B8%D1%80%D0%BE%D0%B2%D0%B0%D1%82%D1%8C%D1%81%D1%8F%20%D0%BD%D0%B0%C2%A0%D0%B0%D0%BA%D0%BA%D1%83%D1%80%D0%B0%D1%82%D0%BD%D0%BE%D0%B9%20%D1%8D%D0%BA%D0%BE%D0%BD%D0%BE%D0%BC%D0%B8%D1%87%D0%B5%D1%81%D0%BA%D0%BE%D0%B9%20%D0%BF%D0%BE%D0%BB%D0%B8%D1%82%D0%B8%D0%BA%D0%B5">
        <w:r>
          <w:rPr>
            <w:rStyle w:val="af"/>
          </w:rPr>
          <w:t>[3]</w:t>
        </w:r>
      </w:hyperlink>
      <w:r>
        <w:t>:</w:t>
      </w:r>
    </w:p>
    <w:p w14:paraId="5653CBD0" w14:textId="77777777" w:rsidR="005A220E" w:rsidRDefault="00000000">
      <w:pPr>
        <w:pStyle w:val="aa"/>
      </w:pPr>
      <w:r>
        <w:t>«В предыдущие годы российский ВВП рос темпом выше 3% “не от хорошей жизни”. Рост стал следствием структурной трансформации. Прошла ли она без побочных эффектов? Нет, одна инфляция чего стоит…» – указал Табах.</w:t>
      </w:r>
      <w:r>
        <w:br/>
        <w:t xml:space="preserve">Здесь тезис эксперта: «ВВП рос выше 3%». В качестве основания упомянуто «значительное бюджетное стимулирование» (скрыто подразумевается из контекста предыдущих абзацев), обоснованием называется «структурная трансформация» («Рост стал следствием трансформации»). При этом между премисами и выводом (подразумеваемый вывод: рост сопровождался негативными побочными эффектами) имеется пропуск: не обозначена явная связь «трансформация вызвала инфляцию». Адресат вынужден самостоятельно вывести этот шаг: из контекста подразумевается, что превалирующие государственные расходы «разогнали» рост, но привели к инфляционному шоку. Метаязыковая формулировка «не от хорошей жизни» сигнализирует читателю подтекст (то есть «причина не в благих намерениях, а в вынужденных мерах»). Таким образом, основная аргументация построена как энтимема – силлогизм с одной упомянутой посылкой («рост – из-за трансформации») и </w:t>
      </w:r>
      <w:r>
        <w:lastRenderedPageBreak/>
        <w:t>одной скрытой (что эта трансформация вызвала инфляцию). Восстановление этой скрытой посылки является ключом к пониманию связи тезиса и замысла автора (таблицы, количественные данные здесь подразумеваются, но отсутствуют).</w:t>
      </w:r>
    </w:p>
    <w:p w14:paraId="67BEC8F8" w14:textId="77777777" w:rsidR="005A220E" w:rsidRDefault="00000000">
      <w:pPr>
        <w:pStyle w:val="FirstParagraph"/>
      </w:pPr>
      <w:r>
        <w:rPr>
          <w:i/>
          <w:iCs/>
        </w:rPr>
        <w:t>Промежуточный вывод:</w:t>
      </w:r>
      <w:r>
        <w:t xml:space="preserve"> в данном примере инференция протекает через реконструкцию недостающей связки между основанием и выводом. Структура текста (последовательность высказываний, риторический вопрос) лишь намекает на заключение, оставляя читателю достроить упущенный логический шаг. Это соответствует определению энтимемы как «силлогизма, в котором одна посылка обычно подразумевается»</w:t>
      </w:r>
      <w:hyperlink r:id="rId8" w:anchor=":~:text=">
        <w:r>
          <w:rPr>
            <w:rStyle w:val="af"/>
          </w:rPr>
          <w:t>[1]</w:t>
        </w:r>
      </w:hyperlink>
      <w:r>
        <w:t>.</w:t>
      </w:r>
    </w:p>
    <w:p w14:paraId="1D30CD34" w14:textId="77777777" w:rsidR="005A220E" w:rsidRDefault="00000000">
      <w:pPr>
        <w:pStyle w:val="a0"/>
      </w:pPr>
      <w:r>
        <w:rPr>
          <w:b/>
          <w:bCs/>
        </w:rPr>
        <w:t>2. Локальные маркеры уступки и возражения.</w:t>
      </w:r>
      <w:r>
        <w:t xml:space="preserve"> Часто встречается оформление аргументации через уступку или противопоставление, что задаёт направление инференции. В том же фрагменте эксперт «Эксперта» использует контраст: «…Для возвращения роста есть два пути, но… не ожидается…» (стр.207–214) и затем «главный экономист возражает: «Рост стал следствием трансформации…»</w:t>
      </w:r>
      <w:hyperlink r:id="rId9" w:anchor=":~:text=%D0%9F%D0%BE%C2%A0%D0%B5%D0%B3%D0%BE%20%D1%81%D0%BB%D0%BE%D0%B2%D0%B0%D0%BC%2C%20%D0%B2%C2%A0%D0%BF%D1%80%D0%B5%D0%B4%D1%8B%D0%B4%D1%83%D1%89%D0%B8%D0%B5%20%D0%B3%D0%BE%D0%B4%D1%8B%20%D1%80%D0%BE%D1%81%D1%81%D0%B8%D0%B9%D1%81%D0%BA%D0%B8%D0%B9,%D0%B4%D0%BE%D0%BB%D0%B6%D0%BD%D0%BE%20%D1%81%D1%84%D0%BE%D0%BA%D1%83%D1%81%D0%B8%D1%80%D0%BE%D0%B2%D0%B0%D1%82%D1%8C%D1%81%D1%8F%20%D0%BD%D0%B0%C2%A0%D0%B0%D0%BA%D0%BA%D1%83%D1%80%D0%B0%D1%82%D0%BD%D0%BE%D0%B9%20%D1%8D%D0%BA%D0%BE%D0%BD%D0%BE%D0%BC%D0%B8%D1%87%D0%B5%D1%81%D0%BA%D0%BE%D0%B9%20%D0%BF%D0%BE%D0%BB%D0%B8%D1%82%D0%B8%D0%BA%D0%B5">
        <w:r>
          <w:rPr>
            <w:rStyle w:val="af"/>
          </w:rPr>
          <w:t>[3]</w:t>
        </w:r>
      </w:hyperlink>
      <w:r>
        <w:t>. Сам факт использования слова «возражает» и связок «однако», «тем не менее» маркирует смену позиции. Например в высказывании Табаха маркер «Рост стал следствием… (возражение предыдущей позиции)» переводит читателя к альтернативному выводу. Согласно анализу Thompson и Mann, конъюнкторы «но», «хотя» и вводные «возражает…» указывают не столько на различные типы смысловых отношений, сколько на реляцию concession между сегментами текста</w:t>
      </w:r>
      <w:hyperlink r:id="rId10" w:anchor=":~:text=Concession">
        <w:r>
          <w:rPr>
            <w:rStyle w:val="af"/>
          </w:rPr>
          <w:t>[2]</w:t>
        </w:r>
      </w:hyperlink>
      <w:r>
        <w:t>. В варианте «Эксперта» это проявляется так: автор сначала излагает точку зрения одних экспертов (импульс роста исчерпался), затем вводит другую точку зрения («возражает Антон Табах») с противоположными аргументами. Такая композиция предполагает, что адресат проведёт параллель между доводами сторон, но не исключает возможность конкурентных трактовок. Маркер «поэтому» или «исходя из этого», появляющийся далее в тексте, служит для ориентира на принятие позиции Табаха («поэтому государство должно…»</w:t>
      </w:r>
      <w:hyperlink r:id="rId11" w:anchor=":~:text=%D0%9F%D1%80%D0%BE%D1%88%D0%BB%D0%B0%C2%A0%D0%BB%D0%B8%20%D0%BE%D0%BD%D0%B0%20%D0%B1%D0%B5%D0%B7%20%D0%BF%D0%BE%D0%B1%D0%BE%D1%87%D0%BD%D1%8B%D1%85%20%D1%8D%D1%84%D1%84%D0%B5%D0%BA%D1%82%D0%BE%D0%B2%3F,%D0%B4%D0%BE%D0%BB%D0%B6%D0%BD%D0%BE%20%D1%81%D1%84%D0%BE%D0%BA%D1%83%D1%81%D0%B8%D1%80%D0%BE%D0%B2%D0%B0%D1%82%D1%8C%D1%81%D1%8F%20%D0%BD%D0%B0%C2%A0%D0%B0%D0%BA%D0%BA%D1%83%D1%80%D0%B0%D1%82%D0%BD%D0%BE%D0%B9%20%D1%8D%D0%BA%D0%BE%D0%BD%D0%BE%D0%BC%D0%B8%D1%87%D0%B5%D1%81%D0%BA%D0%BE%D0%B9%20%D0%BF%D0%BE%D0%BB%D0%B8%D1%82%D0%B8%D0%BA%D0%B5">
        <w:r>
          <w:rPr>
            <w:rStyle w:val="af"/>
          </w:rPr>
          <w:t>[4]</w:t>
        </w:r>
      </w:hyperlink>
      <w:r>
        <w:t>), однако без маркера «возражает» подобного вывода могло бы и не возникнуть. Аналогично, в колонке РАНХиГС фраза «Исходя из этого, контроль совокупности ключевых показателей действительно актуален…»</w:t>
      </w:r>
      <w:hyperlink r:id="rId12" w:anchor=":~:text=%D0%98%D1%81%D1%85%D0%BE%D0%B4%D1%8F%20%D0%B8%D0%B7%20%D1%8D%D1%82%D0%BE%D0%B3%D0%BE%2C%C2%A0%20%D0%BA%D0%BE%D0%BD%D1%82%D1%80%D0%BE%D0%BB%D1%8C%20%D1%81%D0%BE%D0%B2%D0%BE%D0%BA%D1%83%D0%BF%D0%BD%D0%BE%D1%81%D1%82%D0%B8,%D0%B1%D1%8E%D0%B4%D0%B6%D0%B5%D1%82%D0%B0%2C%20%D1%82%D0%B5%D0%BC%D0%BF%D1%8B%20%D1%80%D0%BE%D1%81%D1%82%D0%B0%20%D1%8D%D0%BA%D0%BE%D0%BD%D0%BE%D0%BC%D0%B8%D0%BA%D0%B8%2C%20%D0%B0">
        <w:r>
          <w:rPr>
            <w:rStyle w:val="af"/>
          </w:rPr>
          <w:t>[5]</w:t>
        </w:r>
      </w:hyperlink>
      <w:r>
        <w:t xml:space="preserve"> указывает на вывод, основанный на предыдущем перечислении условий. Маркеры типа «исходя из этого» создают логическое перенаправление: читатель понимает, что после них следует вывод из ранее сказанного.</w:t>
      </w:r>
    </w:p>
    <w:p w14:paraId="743D0813" w14:textId="77777777" w:rsidR="005A220E" w:rsidRDefault="00000000">
      <w:pPr>
        <w:pStyle w:val="a0"/>
      </w:pPr>
      <w:r>
        <w:rPr>
          <w:i/>
          <w:iCs/>
        </w:rPr>
        <w:t>Промежуточный вывод:</w:t>
      </w:r>
      <w:r>
        <w:t xml:space="preserve"> дискурсивные маркеры уступки, возражения и следствия структурируют ожидания читателя и направляют построение вывода. Они предвосхищают «правильную» траекторию инференции, но не снимают неопределённостей: например, «но» или «исходя из» указывают на связь с контекстом, но для полного понимания все же требуется учитывать реальные предпосылки и скрытые посылки. Это подтверждает, что дискурсивные маркеры задают </w:t>
      </w:r>
      <w:r>
        <w:rPr>
          <w:i/>
          <w:iCs/>
        </w:rPr>
        <w:t>предпочтительную</w:t>
      </w:r>
      <w:r>
        <w:t xml:space="preserve"> трактовку (Mann &amp; Thompson 1988; Fraser 1999) без устранения альтернативных.</w:t>
      </w:r>
    </w:p>
    <w:p w14:paraId="646BA5FB" w14:textId="77777777" w:rsidR="005A220E" w:rsidRDefault="00000000">
      <w:pPr>
        <w:pStyle w:val="a0"/>
      </w:pPr>
      <w:r>
        <w:rPr>
          <w:b/>
          <w:bCs/>
        </w:rPr>
        <w:t>3. Локальная связность и глобальная направленность.</w:t>
      </w:r>
      <w:r>
        <w:t xml:space="preserve"> В изученных текстах наблюдались конфликты между деталями микроуровня и макронаправлением. </w:t>
      </w:r>
      <w:r>
        <w:lastRenderedPageBreak/>
        <w:t>Например, в тексте эксперта («Эксперт», [26]) ряд абзацев последовательно излагает разные аспекты экономики (инфляция, цифровизация, трудовые ресурсы), что формально обеспечивает когезию через употребление анафор и глагольных рефлексий, но не всегда явную логическую связность. При анализе видим, что переходы между аргументами происходят по принципу «оглавление–раздел»: каждый новый абзац реализует новую тему. Адресату нужно самостоятельно задать тему: например, в паре абзацев про инфляцию и цифровые технологии в заголовках не очевидно, что это часть единого аргумента о причинах роста. Аналогичный разрыв локальной когерентности замечен в колонке ВИУ: сначала речь идёт о снижении инфляции и поддержке бизнеса (цитата Путина), затем – о цифровизации и создании рабочих мест</w:t>
      </w:r>
      <w:hyperlink r:id="rId13" w:anchor=":~:text=%D0%B8%D0%BD%D1%84%D0%BB%D1%8F%D1%86%D0%B8%D0%B5%D0%B9%2C%20%D0%BF%D0%BE%D0%BA%D0%B0%D0%B7%D0%B0%D1%82%D0%B5%D0%BB%D1%8C%20%D0%BA%D0%BE%D1%82%D0%BE%D1%80%D0%BE%D0%B9%20%D1%81%D0%BD%D0%B8%D0%B7%D0%B8%D0%BB%D1%81%D1%8F%20%D0%B4%D0%BE,%D0%91%D0%B0%D0%BD%D0%BA%D0%B0%20%D0%A0%D0%BE%D1%81%D1%81%D0%B8%D0%B8%20%D0%B8%20%D0%9F%D1%80%D0%B0%D0%B2%D0%B8%D1%82%D0%B5%D0%BB%D1%8C%D1%81%D1%82%D0%B2%D0%B0%20%D0%A0%D0%BE%D1%81%D1%81%D0%B8%D0%B8">
        <w:r>
          <w:rPr>
            <w:rStyle w:val="af"/>
          </w:rPr>
          <w:t>[6]</w:t>
        </w:r>
      </w:hyperlink>
      <w:r>
        <w:t>; связь с первым абзацем явно проговаривается только через тему макроэкономической цели. При этом иерархия доводов играет роль: заголовки и выделенные части («##») подсказывают, что это разные аспекты одной проблемы (нормализация роста), но в самом изложении не всегда появляется связующее звено. Адресат вынужден выстраивать связь «между строками», заметив повторяющиеся мотивы (например, повышение производительности через цифровые технологии соотносится с ограниченным демографическим ресурсом, упомянутым позже). Такие участки проверены на наличие скрытых импликаций. Конфликты local vs global возникает и внутри аргументативных цепочек: так, предложение «По мере снижения ключевой ставки инвестиционная активность будет улучшаться»</w:t>
      </w:r>
      <w:hyperlink r:id="rId14" w:anchor=":~:text=%C2%AB%D0%A1%D0%B5%D0%B9%D1%87%D0%B0%D1%81%20%D0%BC%D1%8B%20%D0%BD%D0%B0%D0%B1%D0%BB%D1%8E%D0%B4%D0%B0%D0%B5%D0%BC%20%D1%81%D0%BD%D0%B8%D0%B6%D0%B5%D0%BD%D0%B8%D0%B5%20%D0%B8%D0%BD%D0%B2%D0%B5%D1%81%D1%82%D0%B8%D1%86%D0%B8%D0%BE%D0%BD%D0%BD%D0%BE%D0%B9,%D0%BF%D1%80%D0%B5%D0%B4%D1%8B%D0%B4%D1%83%D1%89%D0%B8%D1%85%20%D0%BB%D0%B5%D1%82%2C%20%D1%8D%D1%82%D0%BE%20%D0%B1%D1%83%D0%B4%D0%B5%D1%82%20%D1%8F%D0%B2%D0%BB%D1%8F%D0%B5%D1%82%D1%81%D1%8F">
        <w:r>
          <w:rPr>
            <w:rStyle w:val="af"/>
          </w:rPr>
          <w:t>[7]</w:t>
        </w:r>
      </w:hyperlink>
      <w:r>
        <w:t xml:space="preserve"> напрямую следует после констатации «сейчас наблюдаем номинальный прирост – но это не значит, что все хорошо»; здесь частный аргумент о ставках обостряет общую картину «экономики, где прирост не отражает реального улучшения», и читатель должен вывести (имплицитную) причину: снижение ставки в долгосрочной перспективе стимулирует инвесторов.</w:t>
      </w:r>
    </w:p>
    <w:p w14:paraId="10CB6960" w14:textId="77777777" w:rsidR="005A220E" w:rsidRDefault="00000000">
      <w:pPr>
        <w:pStyle w:val="a0"/>
      </w:pPr>
      <w:r>
        <w:rPr>
          <w:i/>
          <w:iCs/>
        </w:rPr>
        <w:t>Промежуточный вывод:</w:t>
      </w:r>
      <w:r>
        <w:t xml:space="preserve"> сложная макроструктура аргументации требует от адресата устанавливать дополнительные связи между сегментами. Разрывы в локальной связности (например, пропуск логических рамок между абзацами) повышают сложность инференции: читателю придётся опираться на контекст и общие знания, чтобы реконструировать общий вывод. Это согласуется с идеей Манна и Томпсона (1988), что устойчивость глобальной связности достигается не только через очевидную когезию, но и через более тонкие реляции, демонстрирующие единую тему, – иными словами, в качественной интерпретации адресат «достраивает» смысл на макроуровне. В этих эпизодах возникает несколько конкурирующих чтений: без подсказки автора можно по-разному интерпретировать вес различных факторов, что подтверждает, что структура дискурса лишь задаёт набор возможностей, а не однозначный вывод.</w:t>
      </w:r>
    </w:p>
    <w:p w14:paraId="2CC3199E" w14:textId="77777777" w:rsidR="005A220E" w:rsidRDefault="00000000">
      <w:pPr>
        <w:pStyle w:val="FirstParagraph"/>
      </w:pPr>
      <w:bookmarkStart w:id="6" w:name="обсуждение-результатов"/>
      <w:bookmarkEnd w:id="5"/>
      <w:r>
        <w:t xml:space="preserve">Полученные результаты соотносятся с прежними исследованиями, уточняя их применение к реальным дискурсивным материалам. Во-первых, подтверждён тезис о том, что инференция зависит не только от семантики высказываний, но и от порядка и типа связей в тексте. Например, вывод о побочных эффектах бюджетного стимуля может быть сделан лишь на основании композиции фрагментов: подобное соответствует заключениям Toulmin (1958) и van Eemeren &amp; Grootendorst (1984), отмечавшим роль гарантии (warrant) в приведении к заключению. Наш анализ указывает, что без дискурсивных маркеров и иной композиционной индикации читатель мог не выявить скрытые посылки – то есть глобальная структура управляет тем, какие выводы становятся «очевидными». Этот вывод согласуется с когнитивными моделями (Sperber &amp; </w:t>
      </w:r>
      <w:r>
        <w:lastRenderedPageBreak/>
        <w:t>Wilson 1986), где релевантность выводов определяется сочетанием доминантных тем и деталей текста. Второй важный момент: проблемные зоны интерпретации действительно сосредоточены там, где автор опускает шаги аргументации. Как и у Carston (2002) и других (Kehler 2002), мы видим, что адресат прибегает к контексту и пресуппозициям, чтобы достроить смысл. Нахождение энтимем (пропущенная логическая посылка) в аргументах приводит к разным возможным «дочиткам» текста, что подтверждает сложность их формализации. Третий момент – дискурсивные маркеры направляют, но не исключают альтернативы. Наши наблюдения сходятся с тем, что «но» и «хотя» указывают на уступку, но сами по себе не диктуют заключение (см. Thompson &amp; Mann 1987</w:t>
      </w:r>
      <w:hyperlink r:id="rId15" w:anchor=":~:text=Concession">
        <w:r>
          <w:rPr>
            <w:rStyle w:val="af"/>
          </w:rPr>
          <w:t>[2]</w:t>
        </w:r>
      </w:hyperlink>
      <w:r>
        <w:t>). Получается, что подобно Fraser (1999), мы отмечаем множественность функций маркеров: они предоставляют ориентир, но допускают конкурирующие смысловые связи. Наконец, подтверждена гипотеза о том, что аргументативный дискурс является плодотворным материалом для изучения инференции. С одной стороны, его многоуровневая структура делает явными многие варианты доводов (основные/дополнительные основания, возражения), что облегчает выявление скрытых предпосылок. С другой стороны, наличие нескольких перспектив (в тексте – разные эксперты и позиции) создаёт инференциальные переключения, аналогичные «энтерактивному» характеру критической дискуссии у van Eemeren. Наши наблюдения уточняют: если классические теории считают аргументацию темой «логических форм», то дискурс-анализ показывает, что реализация этих форм в тексте полагается на прагматические механизмы (implicature, presupposition) и на дискурсивные подсказки (Schiffrin 1987; Blakemore 1987). В то же время выявленные нами особенности (например, конфликт локальных маркеров и глобального смысла) не противоречат, а дополняют заключения предыдущих авторов, показывая их границы применимости.</w:t>
      </w:r>
    </w:p>
    <w:p w14:paraId="384DCA3D" w14:textId="77777777" w:rsidR="005A220E" w:rsidRDefault="00000000">
      <w:pPr>
        <w:pStyle w:val="FirstParagraph"/>
      </w:pPr>
      <w:bookmarkStart w:id="7" w:name="заключение"/>
      <w:bookmarkEnd w:id="6"/>
      <w:r>
        <w:t>В статье показано, что организация аргументативного дискурса существенно влияет на процедуру инференции: структура текста и риторические маркеры задают направление вывода, но не устраняют неопределённости, возникающие из-за скрытых логических переходов. Наши выводы подтверждают гипотезу о том, что аргументация задаётся не только линеарно, а через конфигурацию смысловых связей, в которой инференция управляется шаблонами построения, но остаётся потенциально многозначной. Выявлено, что проблемные зоны интерпретации связаны с пропущенными посылками (энтимемы) и конфликтами между локальной и глобальной связностью текста. Результаты анализа подкрепляют идеи о том, что дискурсивные маркеры и компоновка текста направляют адресата к желаемой трактовке, однако оставляют простор для альтернативных чтений (Thompson &amp; Mann 1987; Fraser 1999). Научный вклад состоит в детальном разборе реальных примеров аргументативного дискурса и формулировке принципов, по которым дискурсивная структура влияет на когнитивный процесс понимания. Перспективы дальнейших исследований связаны с формализацией обнаруженных закономерностей и расширением корпуса анализа (например, включением политических дебатов или дискуссий в СМИ), что позволит проверить общность выявленных механизмов для разных типов дискурса.</w:t>
      </w:r>
    </w:p>
    <w:p w14:paraId="6E49080C" w14:textId="6DF8BF82" w:rsidR="005A220E" w:rsidRDefault="005A220E">
      <w:pPr>
        <w:pStyle w:val="a0"/>
      </w:pPr>
      <w:bookmarkStart w:id="8" w:name="citations"/>
      <w:bookmarkEnd w:id="0"/>
      <w:bookmarkEnd w:id="1"/>
      <w:bookmarkEnd w:id="7"/>
      <w:bookmarkEnd w:id="8"/>
    </w:p>
    <w:sectPr w:rsidR="005A220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6A86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0A79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4102389">
    <w:abstractNumId w:val="0"/>
  </w:num>
  <w:num w:numId="2" w16cid:durableId="2084181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220E"/>
    <w:rsid w:val="005A220E"/>
    <w:rsid w:val="00AC54A7"/>
    <w:rsid w:val="00FE4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FE46"/>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ekawarnapendidikan.wordpress.com/wp-content/uploads/2014/04/a-systematic-theory-of-argumentation-by-frans-h-van-eemeren1.pdf" TargetMode="External"/><Relationship Id="rId13" Type="http://schemas.openxmlformats.org/officeDocument/2006/relationships/hyperlink" Target="https://vlgr-ranepa.ru/news/main/2026-02-11/1/kolonka-ehksperta-perspektivy-razvitiya-ehkonomiki.html" TargetMode="External"/><Relationship Id="rId3" Type="http://schemas.openxmlformats.org/officeDocument/2006/relationships/settings" Target="settings.xml"/><Relationship Id="rId7" Type="http://schemas.openxmlformats.org/officeDocument/2006/relationships/hyperlink" Target="https://expert.ru/ekonomika/vykhod-na-polozhitelnuyu-traektoriyu/" TargetMode="External"/><Relationship Id="rId12" Type="http://schemas.openxmlformats.org/officeDocument/2006/relationships/hyperlink" Target="https://vlgr-ranepa.ru/news/main/2026-02-11/1/kolonka-ehksperta-perspektivy-razvitiya-ehkonomiki.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searchgate.net/publication/235178249_Rhetorical_Structure_Theory_and_Text_Analysis" TargetMode="External"/><Relationship Id="rId11" Type="http://schemas.openxmlformats.org/officeDocument/2006/relationships/hyperlink" Target="https://expert.ru/ekonomika/vykhod-na-polozhitelnuyu-traektoriyu/" TargetMode="External"/><Relationship Id="rId5" Type="http://schemas.openxmlformats.org/officeDocument/2006/relationships/hyperlink" Target="https://anekawarnapendidikan.wordpress.com/wp-content/uploads/2014/04/a-systematic-theory-of-argumentation-by-frans-h-van-eemeren1.pdf" TargetMode="External"/><Relationship Id="rId15" Type="http://schemas.openxmlformats.org/officeDocument/2006/relationships/hyperlink" Target="https://www.researchgate.net/publication/235178249_Rhetorical_Structure_Theory_and_Text_Analysis" TargetMode="External"/><Relationship Id="rId10" Type="http://schemas.openxmlformats.org/officeDocument/2006/relationships/hyperlink" Target="https://www.researchgate.net/publication/235178249_Rhetorical_Structure_Theory_and_Text_Analysis" TargetMode="External"/><Relationship Id="rId4" Type="http://schemas.openxmlformats.org/officeDocument/2006/relationships/webSettings" Target="webSettings.xml"/><Relationship Id="rId9" Type="http://schemas.openxmlformats.org/officeDocument/2006/relationships/hyperlink" Target="https://expert.ru/ekonomika/vykhod-na-polozhitelnuyu-traektoriyu/" TargetMode="External"/><Relationship Id="rId14" Type="http://schemas.openxmlformats.org/officeDocument/2006/relationships/hyperlink" Target="https://vlgr-ranepa.ru/news/main/2026-02-11/1/kolonka-ehksperta-perspektivy-razvitiya-ehkonomik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3606</Words>
  <Characters>20560</Characters>
  <Application>Microsoft Office Word</Application>
  <DocSecurity>0</DocSecurity>
  <Lines>171</Lines>
  <Paragraphs>48</Paragraphs>
  <ScaleCrop>false</ScaleCrop>
  <Company/>
  <LinksUpToDate>false</LinksUpToDate>
  <CharactersWithSpaces>24118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2</cp:revision>
  <dcterms:created xsi:type="dcterms:W3CDTF">2026-04-10T21:09:00Z</dcterms:created>
  <dcterms:modified xsi:type="dcterms:W3CDTF">2026-04-26T12:20:00Z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