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EDF82" w14:textId="77777777" w:rsidR="00A921F6" w:rsidRDefault="00A921F6" w:rsidP="00A921F6">
      <w:pPr>
        <w:pStyle w:val="a0"/>
      </w:pPr>
      <w:bookmarkStart w:id="0" w:name="citations"/>
      <w:bookmarkEnd w:id="0"/>
      <w:r>
        <w:t xml:space="preserve">Тема </w:t>
      </w:r>
      <w:proofErr w:type="spellStart"/>
      <w:r>
        <w:t>интертекстуального</w:t>
      </w:r>
      <w:proofErr w:type="spellEnd"/>
      <w:r>
        <w:t xml:space="preserve"> диалога между А.</w:t>
      </w:r>
      <w:r>
        <w:rPr>
          <w:rFonts w:ascii="Arial" w:hAnsi="Arial" w:cs="Arial"/>
        </w:rPr>
        <w:t> </w:t>
      </w:r>
      <w:r>
        <w:t>П.</w:t>
      </w:r>
      <w:r>
        <w:rPr>
          <w:rFonts w:ascii="Arial" w:hAnsi="Arial" w:cs="Arial"/>
        </w:rPr>
        <w:t> </w:t>
      </w:r>
      <w:r>
        <w:t>Чеховым и А.</w:t>
      </w:r>
      <w:r>
        <w:rPr>
          <w:rFonts w:ascii="Arial" w:hAnsi="Arial" w:cs="Arial"/>
        </w:rPr>
        <w:t> </w:t>
      </w:r>
      <w:r>
        <w:t>С.</w:t>
      </w:r>
      <w:r>
        <w:rPr>
          <w:rFonts w:ascii="Arial" w:hAnsi="Arial" w:cs="Arial"/>
        </w:rPr>
        <w:t> </w:t>
      </w:r>
      <w:r>
        <w:t xml:space="preserve">Пушкиным является актуальной в русской литературе XIX–XX веков. Повесть Чехова «Огни» (1888) и поэма Пушкина «Медный всадник» (1833–1834) взаимосвязаны не только темой Петербурга и малым человеком, но и прямым цитированием. </w:t>
      </w:r>
      <w:proofErr w:type="spellStart"/>
      <w:r>
        <w:t>Интертекстуальный</w:t>
      </w:r>
      <w:proofErr w:type="spellEnd"/>
      <w:r>
        <w:t xml:space="preserve"> анализ таких произведений позволяет глубже понять авторский замысел и новации Чехова в обращении к классическому наследию. Проблема сопоставления «Огней» и «Медного всадника» частично затрагивалась в литературоведении, однако комплексное исследование, основанное на современной теории </w:t>
      </w:r>
      <w:proofErr w:type="spellStart"/>
      <w:r>
        <w:t>интертекста</w:t>
      </w:r>
      <w:proofErr w:type="spellEnd"/>
      <w:r>
        <w:t xml:space="preserve">, требует уточнения. Цель данного исследования – раскрыть характер и функции </w:t>
      </w:r>
      <w:proofErr w:type="spellStart"/>
      <w:r>
        <w:t>интертекстуальных</w:t>
      </w:r>
      <w:proofErr w:type="spellEnd"/>
      <w:r>
        <w:t xml:space="preserve"> связей между указанными произведениями. Для этого поставлены задачи: рассмотреть теоретические основы интертекстуальности; проанализировать «пространственный код» (Петербург и мотив огня); выявить мотив «маленького человека» и его конфликт с исторической стихией; исследовать нарративную организацию текста и философский подтекст. Методологическую основу составляют методы </w:t>
      </w:r>
      <w:proofErr w:type="spellStart"/>
      <w:r>
        <w:t>интертекстуального</w:t>
      </w:r>
      <w:proofErr w:type="spellEnd"/>
      <w:r>
        <w:t xml:space="preserve"> анализа (по Ю.</w:t>
      </w:r>
      <w:r>
        <w:rPr>
          <w:rFonts w:ascii="Arial" w:hAnsi="Arial" w:cs="Arial"/>
        </w:rPr>
        <w:t> </w:t>
      </w:r>
      <w:proofErr w:type="spellStart"/>
      <w:r>
        <w:t>Кристевой</w:t>
      </w:r>
      <w:proofErr w:type="spellEnd"/>
      <w:r>
        <w:t>, Ж.</w:t>
      </w:r>
      <w:r>
        <w:rPr>
          <w:rFonts w:ascii="Arial" w:hAnsi="Arial" w:cs="Arial"/>
        </w:rPr>
        <w:t> </w:t>
      </w:r>
      <w:proofErr w:type="spellStart"/>
      <w:r>
        <w:t>Женетту</w:t>
      </w:r>
      <w:proofErr w:type="spellEnd"/>
      <w:r>
        <w:t xml:space="preserve">), сравнительно-типологический подход (сопоставление типологических образов и мотивов) и </w:t>
      </w:r>
      <w:proofErr w:type="spellStart"/>
      <w:r>
        <w:t>нарратологический</w:t>
      </w:r>
      <w:proofErr w:type="spellEnd"/>
      <w:r>
        <w:t xml:space="preserve"> метод (анализ композиции и повествовательных стратегий).</w:t>
      </w:r>
    </w:p>
    <w:p w14:paraId="32212DF5" w14:textId="5CF4F7D3" w:rsidR="00A921F6" w:rsidRDefault="00A921F6" w:rsidP="00A921F6">
      <w:pPr>
        <w:pStyle w:val="a0"/>
      </w:pPr>
      <w:r>
        <w:t>Понятие «</w:t>
      </w:r>
      <w:proofErr w:type="spellStart"/>
      <w:r>
        <w:t>интертекст</w:t>
      </w:r>
      <w:proofErr w:type="spellEnd"/>
      <w:r>
        <w:t>» введено Ю.</w:t>
      </w:r>
      <w:r>
        <w:rPr>
          <w:rFonts w:ascii="Arial" w:hAnsi="Arial" w:cs="Arial"/>
        </w:rPr>
        <w:t> </w:t>
      </w:r>
      <w:proofErr w:type="spellStart"/>
      <w:r>
        <w:t>Кристева</w:t>
      </w:r>
      <w:proofErr w:type="spellEnd"/>
      <w:r>
        <w:t xml:space="preserve"> в середине 1960-х годов как «</w:t>
      </w:r>
      <w:proofErr w:type="spellStart"/>
      <w:r>
        <w:t>пермутация</w:t>
      </w:r>
      <w:proofErr w:type="spellEnd"/>
      <w:r>
        <w:t xml:space="preserve"> текстов», проявляющаяся во взаимопроникновении высказываний разных литературных текстов. </w:t>
      </w:r>
      <w:proofErr w:type="spellStart"/>
      <w:r>
        <w:t>Кристева</w:t>
      </w:r>
      <w:proofErr w:type="spellEnd"/>
      <w:r>
        <w:t xml:space="preserve"> рассматривала текст как «сплетение текстов и кодов» и определяла интертекстуальность как «текстуальную интеракцию, происходящую внутри каждого художественного текста». Таким образом, любой текст по </w:t>
      </w:r>
      <w:proofErr w:type="spellStart"/>
      <w:r>
        <w:t>Кристевой</w:t>
      </w:r>
      <w:proofErr w:type="spellEnd"/>
      <w:r>
        <w:t xml:space="preserve"> «читает историю» и соотносит себя с предшествующим культурным контекстом. Аналогичную мысль развивал и М.</w:t>
      </w:r>
      <w:r>
        <w:rPr>
          <w:rFonts w:ascii="Arial" w:hAnsi="Arial" w:cs="Arial"/>
        </w:rPr>
        <w:t> </w:t>
      </w:r>
      <w:r>
        <w:t>М.</w:t>
      </w:r>
      <w:r>
        <w:rPr>
          <w:rFonts w:ascii="Arial" w:hAnsi="Arial" w:cs="Arial"/>
        </w:rPr>
        <w:t> </w:t>
      </w:r>
      <w:r>
        <w:t>Бахтин, указывая на полифонический характер речи и на то, что слово всегда «переплетено» с другими «голосами». Согласно Ж.</w:t>
      </w:r>
      <w:r>
        <w:rPr>
          <w:rFonts w:ascii="Arial" w:hAnsi="Arial" w:cs="Arial"/>
        </w:rPr>
        <w:t> </w:t>
      </w:r>
      <w:proofErr w:type="spellStart"/>
      <w:r>
        <w:t>Женетту</w:t>
      </w:r>
      <w:proofErr w:type="spellEnd"/>
      <w:r>
        <w:t xml:space="preserve">, интертекстуальность проявляется через </w:t>
      </w:r>
      <w:proofErr w:type="spellStart"/>
      <w:r>
        <w:t>трастекстуальные</w:t>
      </w:r>
      <w:proofErr w:type="spellEnd"/>
      <w:r>
        <w:t xml:space="preserve"> (</w:t>
      </w:r>
      <w:proofErr w:type="spellStart"/>
      <w:r>
        <w:t>транстекстуальные</w:t>
      </w:r>
      <w:proofErr w:type="spellEnd"/>
      <w:r>
        <w:t xml:space="preserve">) связи: гипертекст (новый текст) соотносится с </w:t>
      </w:r>
      <w:proofErr w:type="spellStart"/>
      <w:r>
        <w:t>гипотекстом</w:t>
      </w:r>
      <w:proofErr w:type="spellEnd"/>
      <w:r>
        <w:t xml:space="preserve"> (предшествующий ему текст) через отношения «прививания». </w:t>
      </w:r>
      <w:proofErr w:type="spellStart"/>
      <w:r>
        <w:t>Женетт</w:t>
      </w:r>
      <w:proofErr w:type="spellEnd"/>
      <w:r>
        <w:t xml:space="preserve"> выделял различные формы «соприсутствия» текстов: аллюзия (намёк на общеизвестный факт или текст), цитата (прямое воспроизведение фрагмента другого текста) и их разновидности. В частности, </w:t>
      </w:r>
      <w:proofErr w:type="spellStart"/>
      <w:r>
        <w:t>Женетт</w:t>
      </w:r>
      <w:proofErr w:type="spellEnd"/>
      <w:r>
        <w:t xml:space="preserve"> указывал, что намёк на литературное произведение он называет реминисценцией, а прямой отрывок – цитатой. Перефразирование или свободная переделка текста можно трактовать как парафраз, а заимствование мотивов и сюжетов – как мотивное наследование. Структурное повторение композиционных схем (например, рамочная композиция) можно понимать как особую форму структурной переклички. Итак, интертекстуальность охватывает множественные связи: обмен мотивами, образами, жанровыми элементами и фразеологическими формулами между текстами. Известные исследователи (Ю.</w:t>
      </w:r>
      <w:r>
        <w:rPr>
          <w:rFonts w:ascii="Arial" w:hAnsi="Arial" w:cs="Arial"/>
        </w:rPr>
        <w:t> </w:t>
      </w:r>
      <w:proofErr w:type="spellStart"/>
      <w:r>
        <w:t>Кристева</w:t>
      </w:r>
      <w:proofErr w:type="spellEnd"/>
      <w:r>
        <w:t>, Р.</w:t>
      </w:r>
      <w:r>
        <w:rPr>
          <w:rFonts w:ascii="Arial" w:hAnsi="Arial" w:cs="Arial"/>
        </w:rPr>
        <w:t> </w:t>
      </w:r>
      <w:r>
        <w:t>Барт, Л.</w:t>
      </w:r>
      <w:r>
        <w:rPr>
          <w:rFonts w:ascii="Arial" w:hAnsi="Arial" w:cs="Arial"/>
        </w:rPr>
        <w:t> </w:t>
      </w:r>
      <w:proofErr w:type="spellStart"/>
      <w:r>
        <w:t>Женни</w:t>
      </w:r>
      <w:proofErr w:type="spellEnd"/>
      <w:r>
        <w:t>, М.</w:t>
      </w:r>
      <w:r>
        <w:rPr>
          <w:rFonts w:ascii="Arial" w:hAnsi="Arial" w:cs="Arial"/>
        </w:rPr>
        <w:t> </w:t>
      </w:r>
      <w:r>
        <w:t>Бахтин, Ю.</w:t>
      </w:r>
      <w:r>
        <w:rPr>
          <w:rFonts w:ascii="Arial" w:hAnsi="Arial" w:cs="Arial"/>
        </w:rPr>
        <w:t> </w:t>
      </w:r>
      <w:r>
        <w:t>Лотман и др.) отмечали, что художественный текст не существует изолированно, он «является феноменом мировой культуры с многомерными связями с другими явлениями культуры, а особенно – с другими художественными текстами». В русской литературе XIX века традиция цитирования и аллюзий была особенно развита (ориентированность на наследие Пушкина, Гоголя и др.), что позволяет говорить о системной интертекстуальности произведений XIX столетия.</w:t>
      </w:r>
    </w:p>
    <w:p w14:paraId="3DECDE87" w14:textId="5F6E6527" w:rsidR="00A921F6" w:rsidRDefault="00A921F6" w:rsidP="00A921F6">
      <w:pPr>
        <w:pStyle w:val="a0"/>
      </w:pPr>
      <w:r>
        <w:lastRenderedPageBreak/>
        <w:t>•</w:t>
      </w:r>
      <w:r>
        <w:tab/>
        <w:t xml:space="preserve">Аллюзия — намёк на общеизвестный литературный или исторический факт. </w:t>
      </w:r>
      <w:proofErr w:type="spellStart"/>
      <w:r>
        <w:t>Женетт</w:t>
      </w:r>
      <w:proofErr w:type="spellEnd"/>
      <w:r>
        <w:t xml:space="preserve"> отмечает, что распространённой разновидностью аллюзии является обращение к современным явлениям через призму истории, а аллюзия на литературные тексты определяется как реминисценция.</w:t>
      </w:r>
    </w:p>
    <w:p w14:paraId="4321C8AB" w14:textId="34071EAC" w:rsidR="00A921F6" w:rsidRDefault="00A921F6" w:rsidP="00A921F6">
      <w:pPr>
        <w:pStyle w:val="a0"/>
      </w:pPr>
      <w:r>
        <w:t>•</w:t>
      </w:r>
      <w:r>
        <w:tab/>
        <w:t>Реминисценция — особый вид аллюзии, когда в тексте содержится явный намёк на ранее созданное произведение (обычно без прямого цитирования).</w:t>
      </w:r>
    </w:p>
    <w:p w14:paraId="021C29FB" w14:textId="55E28AF6" w:rsidR="00A921F6" w:rsidRDefault="00A921F6" w:rsidP="00A921F6">
      <w:pPr>
        <w:pStyle w:val="a0"/>
      </w:pPr>
      <w:r>
        <w:t>•</w:t>
      </w:r>
      <w:r>
        <w:tab/>
        <w:t>Цитата — фрагмент предыдущего текста, буквально воспроизводимый в новом произведении, вносящий в него мотивацию из внешнего контекста.</w:t>
      </w:r>
    </w:p>
    <w:p w14:paraId="0D833E34" w14:textId="77777777" w:rsidR="00A921F6" w:rsidRDefault="00A921F6" w:rsidP="00A921F6">
      <w:pPr>
        <w:pStyle w:val="a0"/>
      </w:pPr>
      <w:r>
        <w:t>•</w:t>
      </w:r>
      <w:r>
        <w:tab/>
        <w:t>Парафраз — свободная переделка или пересказ известного текста с сохранением основных сюжетных элементов.</w:t>
      </w:r>
    </w:p>
    <w:p w14:paraId="7EF61752" w14:textId="77777777" w:rsidR="00A921F6" w:rsidRDefault="00A921F6" w:rsidP="00A921F6">
      <w:pPr>
        <w:pStyle w:val="a0"/>
      </w:pPr>
      <w:r>
        <w:t>•</w:t>
      </w:r>
      <w:r>
        <w:tab/>
        <w:t>Мотивное наследование — использование ключевых сюжетно-тематических мотивов из одного произведения в другом (например, мотив катастрофы, битвы или обречённого героя).</w:t>
      </w:r>
    </w:p>
    <w:p w14:paraId="41E9B21B" w14:textId="77777777" w:rsidR="00A921F6" w:rsidRDefault="00A921F6" w:rsidP="00A921F6">
      <w:pPr>
        <w:pStyle w:val="a0"/>
      </w:pPr>
      <w:r>
        <w:t>•</w:t>
      </w:r>
      <w:r>
        <w:tab/>
        <w:t>Структурная перекличка — повторение композиционных или нарративных построений (рамочных историй, симметрий, типичных приёмов из старших текстов).</w:t>
      </w:r>
    </w:p>
    <w:p w14:paraId="3D627F50" w14:textId="77777777" w:rsidR="00A921F6" w:rsidRDefault="00A921F6" w:rsidP="00A921F6">
      <w:pPr>
        <w:pStyle w:val="a0"/>
      </w:pPr>
      <w:r>
        <w:t xml:space="preserve">Эти формы часто пересекаются и комбинируются. Так, цитаты могут выступать внутри аллюзий, а реминисценции могут строиться по схемам парафраза. Именно данная многослойная природа </w:t>
      </w:r>
      <w:proofErr w:type="spellStart"/>
      <w:r>
        <w:t>интертекста</w:t>
      </w:r>
      <w:proofErr w:type="spellEnd"/>
      <w:r>
        <w:t xml:space="preserve"> лежит в основе нашего анализа.</w:t>
      </w:r>
    </w:p>
    <w:p w14:paraId="06BB012C" w14:textId="5C4BA6DE" w:rsidR="00A921F6" w:rsidRDefault="00A921F6" w:rsidP="00A921F6">
      <w:pPr>
        <w:pStyle w:val="a0"/>
      </w:pPr>
      <w:r>
        <w:t xml:space="preserve">В обоих произведениях образ города Петербурга выступает значимым «культурным текстом». У Пушкина Петербург — не просто декорация, а </w:t>
      </w:r>
      <w:proofErr w:type="spellStart"/>
      <w:r>
        <w:t>ценносотавляющий</w:t>
      </w:r>
      <w:proofErr w:type="spellEnd"/>
      <w:r>
        <w:t xml:space="preserve"> символ: поэт начинает «Медного всадника» с восхищённого восклицания «Люблю тебя, град Петров!», описывая город как плод грандиозного замысла Петра I. Пушкин прославляет красоты столицы («строгий, стройный вид») и одновременно предвосхищает трагедию: город предстоит испытание потопом. В «Медном всаднике» Петербург предстает пространством судьбоносного конфликта между простым человеком и исторической необходимостью.</w:t>
      </w:r>
    </w:p>
    <w:p w14:paraId="4F28B80B" w14:textId="2C36EDF3" w:rsidR="00A921F6" w:rsidRDefault="00A921F6" w:rsidP="00A921F6">
      <w:pPr>
        <w:pStyle w:val="a0"/>
      </w:pPr>
      <w:r>
        <w:t>В повести Чехова действие происходит не в самом городе, а в далёкой провинции (в контексте Сахалина или степи), однако Петербург здесь «входит в текст» ассоциативно. Так, студент отмечает: «Был я в Петербурге, теперь сижу здесь в бараке… и из всего этого какой толк?». Таким образом, оба героя оказываются изолированы от мегаполиса, и Санкт-Петербург в сознании молодого барона прочно ассоциируется со смыслом жизни – но теперь и город, и степь для него лишены значения. Этот пафос тоски по утраченным «огням» цивилизации перекликается с названием повести.</w:t>
      </w:r>
    </w:p>
    <w:p w14:paraId="68296DA3" w14:textId="2E559DE1" w:rsidR="00A921F6" w:rsidRDefault="00A921F6" w:rsidP="00A921F6">
      <w:pPr>
        <w:pStyle w:val="a0"/>
      </w:pPr>
      <w:r>
        <w:t xml:space="preserve">Мотив огня – света – стихии пронизывает оба текста, связывая физическую реальность с идеей. У Чехова «огни» – это огни железнодорожной насыпи в ночи. Повесть открывается видом на ночную пустыню, где «мигал тусклый огонёк, за ним светился другой огонь, за этим третий… длинный ряд таких огней… тянулся по линии до самого горизонта». «Огни были неподвижны… что-то важное зарыто…знали только огни, ночь и проволоки» – эта загадочная картина подчёркивает тайну и незыблемость человеческих усилий. Инженер-Ананьев, вдохновлённый перспективой, восхищается: «В прошлом </w:t>
      </w:r>
      <w:r>
        <w:lastRenderedPageBreak/>
        <w:t>году… голая степь… а теперь поглядите: жизнь, цивилизация</w:t>
      </w:r>
      <w:proofErr w:type="gramStart"/>
      <w:r>
        <w:t>!»[</w:t>
      </w:r>
      <w:proofErr w:type="gramEnd"/>
      <w:r>
        <w:t>9], связывая огни с прогрессом. Однако студент видит в этих же огнях символ «давно умершего» мира и бессмысленность работы (его речь начинается со слов «Знаете, на что похожи эти бесконечные огни…»).</w:t>
      </w:r>
    </w:p>
    <w:p w14:paraId="185FF8C8" w14:textId="211CF534" w:rsidR="00A921F6" w:rsidRDefault="00A921F6" w:rsidP="00A921F6">
      <w:pPr>
        <w:pStyle w:val="a0"/>
      </w:pPr>
      <w:r>
        <w:t>У Пушкина мотив огня концентрируется через противопоставление воды и пламени. После ледового шторма небо очищено, но «волны ещё кипели… как бы под ними тлел огонь… тяжело Нева дышала». Образ «тлеющего огня» в ледяной воде передаёт опасность потопа и злобную энергию стихии. Завершающая картина тоже полна огненных образов: поэт восторженно восклицает «О, могучий властелин судьбы! … А в сём коне какой огонь!», описывая всадника Петра. «Пламя» в фигуре коня и его устремлённость символизируют неукротимую волю Царя. Таким образом, «огненные» метафоры у Пушкина подчёркивают историческую мощь и судьбоносную стихию, а у Чехова – таинственный, почти мистический характер «огней» прогресса.</w:t>
      </w:r>
    </w:p>
    <w:p w14:paraId="34D7E015" w14:textId="77777777" w:rsidR="00A921F6" w:rsidRDefault="00A921F6" w:rsidP="00A921F6">
      <w:pPr>
        <w:pStyle w:val="a0"/>
      </w:pPr>
      <w:r>
        <w:t xml:space="preserve">И Петербург, и образ огня в обоих произведениях становятся «экзистенциальным пространством испытания». В «Медном всаднике» город – это объект веры и созидания (любимый </w:t>
      </w:r>
      <w:proofErr w:type="spellStart"/>
      <w:r>
        <w:t>Пушким</w:t>
      </w:r>
      <w:proofErr w:type="spellEnd"/>
      <w:r>
        <w:t>) и одновременно поле исторической катастрофы: на его улицы обрушивается потоп, изменяя судьбу Евгения. В «Огнях» функция «испытания» возложена на судьбу героя перед лицом бессмысленности: Петербург и пустыня приравнены в эмоциональном опыте Чехова, а свет и тьма насыпи выступают в роли «испытательной лаборатории» философского спора героев. Таким образом, «пространственный код» подчеркивает философский конфликт между человеком и стихиями – и природными, и историческими.</w:t>
      </w:r>
    </w:p>
    <w:p w14:paraId="58BC4DC9" w14:textId="763B1D82" w:rsidR="00A921F6" w:rsidRDefault="00A921F6" w:rsidP="00A921F6">
      <w:pPr>
        <w:pStyle w:val="a0"/>
      </w:pPr>
      <w:r>
        <w:t>Оба произведения содержат образ «маленького человека» – униженного и несчастного героя, стоящего перед лицом непостижимой судьбы. У Чехова его воплощает писарь Корольков или начинающий путеец Кросс. Описывая нацарапанное Кроссом имя, Чехов называет его «как</w:t>
      </w:r>
      <w:r>
        <w:rPr>
          <w:rFonts w:ascii="Cambria Math" w:hAnsi="Cambria Math" w:cs="Cambria Math"/>
        </w:rPr>
        <w:t>‑</w:t>
      </w:r>
      <w:r>
        <w:t>то маленький и незначительный человечек, так сильно прочувствовал своё ничтожество…». Эта прямая характеристика подчёркивает социальную незначительность Кросса. В поэме Пушкина Евгений – тоже низкооплачиваемый служащий, «маленький человек», внезапно оказавшийся втянутым в бессердечный исторический катаклизм.</w:t>
      </w:r>
    </w:p>
    <w:p w14:paraId="4B00EEC9" w14:textId="440161A0" w:rsidR="00A921F6" w:rsidRDefault="00A921F6" w:rsidP="00A921F6">
      <w:pPr>
        <w:pStyle w:val="a0"/>
      </w:pPr>
      <w:r>
        <w:t>Сопоставление образов показывает общую типологию: в обоих текстах простой человек вынужден столкнуться с гораздо большей силой. В «Медном всаднике» Евгений сталкивается с божественным замыслом Петра I – конем Петра, воплощением исторической необходимости. В финале поэмы Пушкин восклицает: «О, могучий властелин судьбы!», обращаясь к статуе Петра, – это обращение и образ «огненного коня» подчёркивают колоссальный исторический контекст, против которого бессилен Евгений. В итоге «несчастный ум» Евгения «против ужасных потрясений не устоял», и герой впадает в безумие.</w:t>
      </w:r>
    </w:p>
    <w:p w14:paraId="7DD57BE5" w14:textId="10F78BFE" w:rsidR="00A921F6" w:rsidRDefault="00A921F6" w:rsidP="00A921F6">
      <w:pPr>
        <w:pStyle w:val="a0"/>
      </w:pPr>
      <w:r>
        <w:t>В «Огнях» конфликт проявлен более внутренне</w:t>
      </w:r>
      <w:r>
        <w:rPr>
          <w:rFonts w:ascii="Cambria Math" w:hAnsi="Cambria Math" w:cs="Cambria Math"/>
        </w:rPr>
        <w:t>‑</w:t>
      </w:r>
      <w:r>
        <w:t xml:space="preserve">философски. Чехов показывает разницу поколений: молодой барон фон </w:t>
      </w:r>
      <w:proofErr w:type="spellStart"/>
      <w:r>
        <w:t>Штенберг</w:t>
      </w:r>
      <w:proofErr w:type="spellEnd"/>
      <w:r>
        <w:t xml:space="preserve"> строит скептическую философию бытия, а опытный инженер Ананьев критикует его выводы как «неподобающие мысли». Студент выражает своего рода «мировую меланхолию»: «Ничего я пока не вижу хорошего ни в определённом деле, ни в определённом кусочке хлеба… Всё это вздор. Был я в </w:t>
      </w:r>
      <w:r>
        <w:lastRenderedPageBreak/>
        <w:t>Петербурге, теперь сижу здесь… и толковать нечего…». Эти слова – своего рода метафорический «катастрофический шторм», разрушающий иллюзии молодого человека. И хотя в повести нет физической стихии, герой переживает внутреннюю катастрофу: потерю веры в смысл. Сравнение показывает, что катастрофы различного масштаба – потоп в поэме и «потоп мысли» в повести – приводят к психологической трансформации героя. В частности, герои остаются «маленькими» и вынуждены принять неизбежность исторической необходимости (Пушкин) или фатальность собственной мелочности (Чехов).</w:t>
      </w:r>
    </w:p>
    <w:p w14:paraId="01FEE918" w14:textId="5D4C4BA7" w:rsidR="00A921F6" w:rsidRDefault="00A921F6" w:rsidP="00A921F6">
      <w:pPr>
        <w:pStyle w:val="a0"/>
      </w:pPr>
      <w:r>
        <w:t xml:space="preserve">Композиторские приёмы и </w:t>
      </w:r>
      <w:proofErr w:type="spellStart"/>
      <w:r>
        <w:t>наративные</w:t>
      </w:r>
      <w:proofErr w:type="spellEnd"/>
      <w:r>
        <w:t xml:space="preserve"> стратегии обоих произведений также соотносятся через концепцию </w:t>
      </w:r>
      <w:proofErr w:type="spellStart"/>
      <w:r>
        <w:t>интертекста</w:t>
      </w:r>
      <w:proofErr w:type="spellEnd"/>
      <w:r>
        <w:t>. Поэма «Медный всадник» построена драматургически: её повествование ведётся от третьего лица, то и дело обращаясь к мысли о судьбе и истории (например, монолог Петра «О, властелин судьбы!»). У Чехова «Огни» использует рамочную композицию: история начинается с описания случайной встречи рассказчика с инженером и студентом в отдалённой бараке (опорные слова «нас радушно встретили… через час я уже знал, кто они и как судьба их занесла из столицы…»). Такой приём создаёт эффект непосредственности и доверия. Нарратив Чехова построен как рассказ «от первого лица», что придаёт диалогу героев характер исповедальности.</w:t>
      </w:r>
    </w:p>
    <w:p w14:paraId="2B40FC96" w14:textId="12F3DD4B" w:rsidR="00A921F6" w:rsidRDefault="00A921F6" w:rsidP="00A921F6">
      <w:pPr>
        <w:pStyle w:val="a0"/>
      </w:pPr>
      <w:r>
        <w:t>Философский подтекст обеих повестей также выстраивается через текстовые приёмы. У Чехова важную роль играют прямые философские высказывания героев. Инженер Ананьев прямо критикует пессимизм барона: «Все эти мысли о бренности… до сих пор составляют высшую и конечную ступень в области человеческого мышления… Дальше идти некуда». Он поясняет: такие «высокие мысли… хороши… в старости, а для молодого ума – несчастье! Несчастье!». Таким образом Чехов внедряет в повествование дискуссию о смысле жизни – иронически полемизируя с мировоззрением «маленького человека». У Пушкина же философская доминанта построена иначе: через гигантские образы. «Медный всадник» открывается и завершается обращением к фатуму и творцу города: поэт вопрошает «О, могучий властелин судьбы!», ставя исторический катаклизм в зависимость от воли человека. Тем самым Пушкин задаёт глубинный вопрос об ответственности власти и долге простого человека.</w:t>
      </w:r>
    </w:p>
    <w:p w14:paraId="7726C92D" w14:textId="77777777" w:rsidR="00A921F6" w:rsidRDefault="00A921F6" w:rsidP="00A921F6">
      <w:pPr>
        <w:pStyle w:val="a0"/>
      </w:pPr>
      <w:r>
        <w:t xml:space="preserve">Таким образом, </w:t>
      </w:r>
      <w:proofErr w:type="spellStart"/>
      <w:r>
        <w:t>наративные</w:t>
      </w:r>
      <w:proofErr w:type="spellEnd"/>
      <w:r>
        <w:t xml:space="preserve"> стратегии каждого автора реализуют единый философский замысел. Чехов использует личную беседу и внутренний монолог, чтобы показать метафизическую усталость героя; Пушкин – широкий эпический план с идеальным оратором (Петербург) и «маленьким» Евгением как контрастом. Оба текста стремятся к экзистенциальному осмыслению: у Чехова – через призму пессимизма и усталости молодого поколения, у Пушкина – через конфликт личного и исторического начал.</w:t>
      </w:r>
    </w:p>
    <w:p w14:paraId="2600CD84" w14:textId="3C2A4818" w:rsidR="00A921F6" w:rsidRDefault="00A921F6" w:rsidP="00A921F6">
      <w:pPr>
        <w:pStyle w:val="a0"/>
      </w:pPr>
      <w:r>
        <w:t xml:space="preserve">Сопоставление повести Чехова «Огни» и поэмы Пушкина «Медный всадник» выявляет глубокую </w:t>
      </w:r>
      <w:proofErr w:type="spellStart"/>
      <w:r>
        <w:t>интертекстуальную</w:t>
      </w:r>
      <w:proofErr w:type="spellEnd"/>
      <w:r>
        <w:t xml:space="preserve"> связь. Чехов не случайно включил в свой текст строку из Пушкина «На берегу пустынных волн стоял он, дум великих </w:t>
      </w:r>
      <w:proofErr w:type="spellStart"/>
      <w:r>
        <w:t>полн</w:t>
      </w:r>
      <w:proofErr w:type="spellEnd"/>
      <w:r>
        <w:t xml:space="preserve">» – эта цитата служит не только данью классике, но и парадоксальной иллюстрацией бессилия «маленького человека». Тем самым связь между текстами имеет переосмысляющий характер: Чехов заимствует пушкинский образ, чтобы поставить свою полемическую точку зрения. В «Огнях» библейский герой Пушкина превращается в жалкий Кросс, а грандиозность </w:t>
      </w:r>
      <w:r>
        <w:lastRenderedPageBreak/>
        <w:t xml:space="preserve">событий поэмы – в тягостную философию повседневности. </w:t>
      </w:r>
      <w:proofErr w:type="spellStart"/>
      <w:r>
        <w:t>Интертекст</w:t>
      </w:r>
      <w:proofErr w:type="spellEnd"/>
      <w:r>
        <w:t xml:space="preserve"> служит не столько восхвалением Пушкина, сколько иронией над героическим пафосом: таким образом Чехов «трансформирует» стихи классика, вкладывая в них новый смысл.</w:t>
      </w:r>
    </w:p>
    <w:p w14:paraId="07D918B3" w14:textId="77777777" w:rsidR="00A921F6" w:rsidRDefault="00A921F6" w:rsidP="00A921F6">
      <w:pPr>
        <w:pStyle w:val="a0"/>
      </w:pPr>
      <w:r>
        <w:t xml:space="preserve">Выявленные связи проливают свет на поэтику Чехова: они демонстрируют его склонность к иронии и </w:t>
      </w:r>
      <w:proofErr w:type="spellStart"/>
      <w:r>
        <w:t>аллюзивности</w:t>
      </w:r>
      <w:proofErr w:type="spellEnd"/>
      <w:r>
        <w:t xml:space="preserve">, умение вести «диалог» с прошлым. Через цитирование и реминисценцию Чехов расширяет семантическое поле повести, придаёт ей глубину философского осмысления. Установленные </w:t>
      </w:r>
      <w:proofErr w:type="spellStart"/>
      <w:r>
        <w:t>интертекстуальные</w:t>
      </w:r>
      <w:proofErr w:type="spellEnd"/>
      <w:r>
        <w:t xml:space="preserve"> переклички помогают лучше понять внутреннюю логику «Огней»: Чехов осознаёт себя продолжателем русской литературной традиции, но сознательно перестраивает классические мотивы в духе своего времени. В целом, анализ показывает, что переплетение «Огней» с «Медным всадником» носит скорее трансформирующий, чем комплиментарный характер, и это обогащает наше представление о художественном методе Чехова.</w:t>
      </w:r>
    </w:p>
    <w:p w14:paraId="3618D795" w14:textId="68D8B199" w:rsidR="004F454E" w:rsidRDefault="004F454E">
      <w:pPr>
        <w:pStyle w:val="a0"/>
      </w:pPr>
    </w:p>
    <w:sectPr w:rsidR="004F454E">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8032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DA21B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09900096">
    <w:abstractNumId w:val="0"/>
  </w:num>
  <w:num w:numId="2" w16cid:durableId="66268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F454E"/>
    <w:rsid w:val="00250C28"/>
    <w:rsid w:val="004F454E"/>
    <w:rsid w:val="005B73F3"/>
    <w:rsid w:val="005C637C"/>
    <w:rsid w:val="00A921F6"/>
    <w:rsid w:val="00AC54A7"/>
    <w:rsid w:val="00F92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7C57A"/>
  <w15:docId w15:val="{29A180E9-8D30-014D-86C5-99BA2B30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2016</Words>
  <Characters>11497</Characters>
  <Application>Microsoft Office Word</Application>
  <DocSecurity>0</DocSecurity>
  <Lines>95</Lines>
  <Paragraphs>26</Paragraphs>
  <ScaleCrop>false</ScaleCrop>
  <Company/>
  <LinksUpToDate>false</LinksUpToDate>
  <CharactersWithSpaces>13487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4</cp:revision>
  <dcterms:created xsi:type="dcterms:W3CDTF">2026-02-21T07:15:00Z</dcterms:created>
  <dcterms:modified xsi:type="dcterms:W3CDTF">2026-04-26T17:26:00Z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