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0AA0D" w14:textId="5A009FF8" w:rsidR="00AA737A" w:rsidRDefault="00AA737A" w:rsidP="00AA737A">
      <w:pPr>
        <w:pStyle w:val="a0"/>
      </w:pPr>
      <w:bookmarkStart w:id="0" w:name="citations"/>
      <w:bookmarkEnd w:id="0"/>
      <w:r>
        <w:t xml:space="preserve">Тема метафоры как когнитивной составляющей речевого высказывания прочно вошла в научный дискурс в последние десятилетия. Согласно концептуальной теории </w:t>
      </w:r>
      <w:proofErr w:type="spellStart"/>
      <w:r>
        <w:t>Лакоффа</w:t>
      </w:r>
      <w:proofErr w:type="spellEnd"/>
      <w:r>
        <w:t xml:space="preserve"> и Джонсона, метафора «не просто риторический приём, а способ структурирования нашего опыта» – именно через перенос значений из одного предметного домена в другой мы осмысливаем многие абстрактные понятия («время – это ресурс», «жизнь – это путь» и т.д.). Однако особое значение метафоры для создания зрительных образов текста рассмотрено далеко не исчерпывающе. В ряде работ подчеркивается, что метафорическая «видимость» буквально «</w:t>
      </w:r>
      <w:proofErr w:type="spellStart"/>
      <w:r>
        <w:t>отрисовывает</w:t>
      </w:r>
      <w:proofErr w:type="spellEnd"/>
      <w:r>
        <w:t>» смысловое поле: «в метафоре… речь воссоздает природу тела, показывая формы и черты, которые обычно характеризуют… человека», то есть визуальность становится атрибутом почти любой метафоры. Задача данного исследования – выяснить: каким образом именно метафорические конструкции формируют у читателя конкретные зрительные представления? Каковы когнитивные механизмы перехода от языкового знака к ментальному образу? Какие типы метафор наиболее эффективно задействуют «зрительную жилку» воображения?</w:t>
      </w:r>
    </w:p>
    <w:p w14:paraId="0E289F20" w14:textId="77777777" w:rsidR="00AA737A" w:rsidRDefault="00AA737A" w:rsidP="00AA737A">
      <w:pPr>
        <w:pStyle w:val="a0"/>
      </w:pPr>
      <w:r>
        <w:t xml:space="preserve">Актуальность темы определяется тем, что хотя в когнитивной лингвистике метафора изучена обширно, роль её визуального начала в текстовой семантике и художественной стилистике остаётся недостаточно раскрытой. При этом в современной науке растёт интерес к «визуальному повороту» (Visual </w:t>
      </w:r>
      <w:proofErr w:type="spellStart"/>
      <w:r>
        <w:t>Turn</w:t>
      </w:r>
      <w:proofErr w:type="spellEnd"/>
      <w:r>
        <w:t xml:space="preserve">) и проблемам мультимодальности, что делает анализ зрительных метафор перспективным междисциплинарным направлением. Автор исходит из гипотезы о том, что метафора не является лишь украшением речи, а служит ключевым когнитивным средством организации зрительных образов; и эти образы создаются благодаря особым ментальным операциям – образным проекциям, активации чувственного опыта, </w:t>
      </w:r>
      <w:proofErr w:type="spellStart"/>
      <w:r>
        <w:t>образомышлению</w:t>
      </w:r>
      <w:proofErr w:type="spellEnd"/>
      <w:r>
        <w:t>. В статье сформулирована цель – выявить когнитивные принципы зрительно-образной работы метафоры и проследить их на конкретных текстовых примерах.</w:t>
      </w:r>
    </w:p>
    <w:p w14:paraId="476D3F67" w14:textId="034C3F67" w:rsidR="00AA737A" w:rsidRDefault="00AA737A" w:rsidP="00AA737A">
      <w:pPr>
        <w:pStyle w:val="a0"/>
      </w:pPr>
      <w:r>
        <w:t xml:space="preserve">В русскоязычных и международных исследованиях метафора традиционно рассматривается как средство познания и описания мира (классические труды Ричардса, 1936; </w:t>
      </w:r>
      <w:proofErr w:type="spellStart"/>
      <w:r>
        <w:t>Блека</w:t>
      </w:r>
      <w:proofErr w:type="spellEnd"/>
      <w:r>
        <w:t>) либо как троп стилистики. Когнитивная парадигма смещает акцент на то, что метафора «пронизывает повседневное мышление и отражает, как люди рассуждают и воображают». Метафорические модели (жизнь как путь, аргумент как война, эмоции как жидкости и т.д.) представляют стабильные концептуальные схемы. Исследователи отмечают, что исторически основные значения слов часто «смещались» через метафорическое расширение (</w:t>
      </w:r>
      <w:proofErr w:type="spellStart"/>
      <w:r>
        <w:t>Sweetser</w:t>
      </w:r>
      <w:proofErr w:type="spellEnd"/>
      <w:r>
        <w:t xml:space="preserve"> 1990) – например, глагол «видеть» в ряде случаев приобрёл абстрактный смысл «понимать». Это подчёркивает, что визуально-когнитивные метафоры лежат в основе семантических изменений: перенос идей из сферы зрительного восприятия в область мышления.</w:t>
      </w:r>
    </w:p>
    <w:p w14:paraId="452635C6" w14:textId="3BE773E7" w:rsidR="00AA737A" w:rsidRDefault="00AA737A" w:rsidP="00AA737A">
      <w:pPr>
        <w:pStyle w:val="a0"/>
      </w:pPr>
      <w:r>
        <w:t>Одним из ключевых направлений является когнитивная стилистика, где изучают именно образность текста (</w:t>
      </w:r>
      <w:proofErr w:type="spellStart"/>
      <w:r>
        <w:t>Семино</w:t>
      </w:r>
      <w:proofErr w:type="spellEnd"/>
      <w:r>
        <w:t xml:space="preserve">, </w:t>
      </w:r>
      <w:proofErr w:type="spellStart"/>
      <w:r>
        <w:t>Стоувелл</w:t>
      </w:r>
      <w:proofErr w:type="spellEnd"/>
      <w:r>
        <w:t xml:space="preserve">, </w:t>
      </w:r>
      <w:proofErr w:type="spellStart"/>
      <w:r>
        <w:t>Рэнкин</w:t>
      </w:r>
      <w:proofErr w:type="spellEnd"/>
      <w:r>
        <w:t xml:space="preserve"> и др.). Там подчёркивается, что метафора создаёт у читателя так называемые «ментальные модели» – психические сценарии с наглядными компонентами. Например, </w:t>
      </w:r>
      <w:proofErr w:type="spellStart"/>
      <w:r>
        <w:t>Stockwell</w:t>
      </w:r>
      <w:proofErr w:type="spellEnd"/>
      <w:r>
        <w:t xml:space="preserve"> (2002) указывает, что метафоры возникают из «обобщений из опыта» и запускают зрительные и кинестетические представления. Рикер (цит. по Зенковой) писал, что «информативное ядро» метафоры </w:t>
      </w:r>
      <w:r>
        <w:lastRenderedPageBreak/>
        <w:t xml:space="preserve">лежит в конституировании смысла через роль ощущения и </w:t>
      </w:r>
      <w:proofErr w:type="gramStart"/>
      <w:r>
        <w:t>воображения[</w:t>
      </w:r>
      <w:proofErr w:type="gramEnd"/>
      <w:r>
        <w:t>5]: метафора даёт «семантическое пространство» для воображения, «воссоздавая природу тела». Таким образом, видение включается в акт понимания. Напротив, традиционная риторика (Ричардс, 1936) отвергает необходимость образного мышления при интерпретации метафор, считая это «побочным» эффектом. Ричардс писал: «то, как работает троп, не имеет непременно отношения к тому, какие образы могут… подкреплять слова».</w:t>
      </w:r>
    </w:p>
    <w:p w14:paraId="65E9C139" w14:textId="3919FCFA" w:rsidR="00AA737A" w:rsidRDefault="00AA737A" w:rsidP="00AA737A">
      <w:pPr>
        <w:pStyle w:val="a0"/>
      </w:pPr>
      <w:r>
        <w:t xml:space="preserve">Наблюдения последних лет дают аргументы «за» роль визуализации. </w:t>
      </w:r>
      <w:proofErr w:type="spellStart"/>
      <w:r>
        <w:t>Carston</w:t>
      </w:r>
      <w:proofErr w:type="spellEnd"/>
      <w:r>
        <w:t xml:space="preserve"> (2018) отмечает, что для так называемых «образных метафор» психолингвистические эксперименты находят свидетельства активации ментальных образов (</w:t>
      </w:r>
      <w:proofErr w:type="spellStart"/>
      <w:r>
        <w:t>Kosslyn</w:t>
      </w:r>
      <w:proofErr w:type="spellEnd"/>
      <w:r>
        <w:t xml:space="preserve"> и др.), хотя признаёт, что чаще эти образы следуют за языковым толкованием, нежели предвосхищают его. </w:t>
      </w:r>
      <w:proofErr w:type="spellStart"/>
      <w:r>
        <w:t>Forceville</w:t>
      </w:r>
      <w:proofErr w:type="spellEnd"/>
      <w:r>
        <w:t xml:space="preserve"> (2006; 2024) развил понятие визуальной (иконической) метафоры: если смысловую связь между «мишенью» и «источником» можно установить на одном визуальном уровне (например, в рекламной картинке или сцене фильма), то это особый тип «мономодальной» метафоры. Его анализ классической кинокартины Эйзенштейна «</w:t>
      </w:r>
      <w:proofErr w:type="spellStart"/>
      <w:r>
        <w:t>Штраik</w:t>
      </w:r>
      <w:proofErr w:type="spellEnd"/>
      <w:r>
        <w:t>» (1925) показал, как монтаж картин «солдат–рабов» и «мясников–скотобоен» задаёт явно метафорическую формулу «SOLDIERS ARE BUTCHERS SLAUGHTERING CATTLE», вызывая у зрителя зрительный образ сцены, не зависящий от речи. Многочисленные исследования концептуальных метафор (</w:t>
      </w:r>
      <w:proofErr w:type="spellStart"/>
      <w:r>
        <w:t>Лакофф</w:t>
      </w:r>
      <w:proofErr w:type="spellEnd"/>
      <w:r>
        <w:t xml:space="preserve"> 1993, </w:t>
      </w:r>
      <w:proofErr w:type="spellStart"/>
      <w:r>
        <w:t>Фоконнье</w:t>
      </w:r>
      <w:proofErr w:type="spellEnd"/>
      <w:r>
        <w:t xml:space="preserve"> и Тернер 2002, </w:t>
      </w:r>
      <w:proofErr w:type="spellStart"/>
      <w:r>
        <w:t>Gibbs</w:t>
      </w:r>
      <w:proofErr w:type="spellEnd"/>
      <w:r>
        <w:t xml:space="preserve"> 2006) и </w:t>
      </w:r>
      <w:proofErr w:type="spellStart"/>
      <w:r>
        <w:t>эмбодимент</w:t>
      </w:r>
      <w:proofErr w:type="spellEnd"/>
      <w:r>
        <w:t>-подход подчеркивают, что метафора несёт «оживляющий» эффект: она может «отмечать ситуации, создавая новые концептуальные и эстетические возможности».</w:t>
      </w:r>
    </w:p>
    <w:p w14:paraId="53A68ECF" w14:textId="06E2E173" w:rsidR="00AA737A" w:rsidRDefault="00AA737A" w:rsidP="00AA737A">
      <w:pPr>
        <w:pStyle w:val="a0"/>
      </w:pPr>
      <w:r>
        <w:t xml:space="preserve">В русской традиции занимались образностью текста философы (Г. </w:t>
      </w:r>
      <w:proofErr w:type="spellStart"/>
      <w:r>
        <w:t>Рорти</w:t>
      </w:r>
      <w:proofErr w:type="spellEnd"/>
      <w:r>
        <w:t>, Л. Лефевр), литературоведы (</w:t>
      </w:r>
      <w:proofErr w:type="spellStart"/>
      <w:r>
        <w:t>Чуклин</w:t>
      </w:r>
      <w:proofErr w:type="spellEnd"/>
      <w:r>
        <w:t>, Подлесная) и лингвисты. Зенкова (2004) указывала, что «визуальная метафора является наилучшим воплощением принципа экономии»: одним сравнением даётся «новый взгляд, новое видение предмета, новый способ смотрения». Подобный акцент на «новом зрении» метафоры поддерживает и русская поэтика. Таким образом, ведущие подходы приходят к выводу, что метафора по своей сути тесно связана с возникающей визуальностью – будь то прямое «представление» образа (</w:t>
      </w:r>
      <w:proofErr w:type="spellStart"/>
      <w:r>
        <w:t>Monroe</w:t>
      </w:r>
      <w:proofErr w:type="spellEnd"/>
      <w:r>
        <w:t>) или опосредованная «</w:t>
      </w:r>
      <w:proofErr w:type="spellStart"/>
      <w:r>
        <w:t>синестетическая</w:t>
      </w:r>
      <w:proofErr w:type="spellEnd"/>
      <w:r>
        <w:t>» связь чувственных доменов.</w:t>
      </w:r>
    </w:p>
    <w:p w14:paraId="37C172A4" w14:textId="77777777" w:rsidR="00AA737A" w:rsidRDefault="00AA737A" w:rsidP="00AA737A">
      <w:pPr>
        <w:pStyle w:val="a0"/>
      </w:pPr>
      <w:r>
        <w:t xml:space="preserve">В основе работы лежит концептуальная теория метафоры </w:t>
      </w:r>
      <w:proofErr w:type="spellStart"/>
      <w:r>
        <w:t>Лакоффа</w:t>
      </w:r>
      <w:proofErr w:type="spellEnd"/>
      <w:r>
        <w:t xml:space="preserve"> и Джонсона, постулирующая наличие систем соответствий между областями опыта. Метафорический перенос не происходит на уровне отдельных слов или фраз, а формирует когнитивные модели (например, ЖИЗНЬ – ПУТЬ, ЧАСЫ – РЕСУРС и т.</w:t>
      </w:r>
      <w:r>
        <w:rPr>
          <w:rFonts w:ascii="Arial" w:hAnsi="Arial" w:cs="Arial"/>
        </w:rPr>
        <w:t> </w:t>
      </w:r>
      <w:proofErr w:type="gramStart"/>
      <w:r>
        <w:t>п.)[</w:t>
      </w:r>
      <w:proofErr w:type="gramEnd"/>
      <w:r>
        <w:t xml:space="preserve">1]. Важным дополнением являются «образные схемы» (Johnson 1987): это </w:t>
      </w:r>
      <w:proofErr w:type="spellStart"/>
      <w:r>
        <w:t>предязыковые</w:t>
      </w:r>
      <w:proofErr w:type="spellEnd"/>
      <w:r>
        <w:t xml:space="preserve"> структуры (например, контейнер, путь, цикл, сила), которые проявляются во множестве метафор и задают общую «схему» мышления. Например, схема «путь» позволяет визуализировать жизнь как полосу дороги. Концептуальная интеграция (согласно </w:t>
      </w:r>
      <w:proofErr w:type="spellStart"/>
      <w:r>
        <w:t>Фоконнье</w:t>
      </w:r>
      <w:proofErr w:type="spellEnd"/>
      <w:r>
        <w:t xml:space="preserve"> и Тернеру) объясняет </w:t>
      </w:r>
      <w:proofErr w:type="spellStart"/>
      <w:r>
        <w:t>генеративность</w:t>
      </w:r>
      <w:proofErr w:type="spellEnd"/>
      <w:r>
        <w:t xml:space="preserve"> метафор: комбинация двух концептуальных миров создает «плавильный чан» образов, из которого рождаются новые визуальные структуры.</w:t>
      </w:r>
    </w:p>
    <w:p w14:paraId="1357D672" w14:textId="77777777" w:rsidR="00AA737A" w:rsidRDefault="00AA737A" w:rsidP="00AA737A">
      <w:pPr>
        <w:pStyle w:val="a0"/>
      </w:pPr>
      <w:r>
        <w:t>Концепция «</w:t>
      </w:r>
      <w:proofErr w:type="spellStart"/>
      <w:r>
        <w:t>эмбодимент</w:t>
      </w:r>
      <w:proofErr w:type="spellEnd"/>
      <w:r>
        <w:t>» (</w:t>
      </w:r>
      <w:proofErr w:type="spellStart"/>
      <w:r>
        <w:t>оподобление</w:t>
      </w:r>
      <w:proofErr w:type="spellEnd"/>
      <w:r>
        <w:t xml:space="preserve"> телесного опыта) рассматривает метафору через призму сенсорных и моторных реакций. Согласно </w:t>
      </w:r>
      <w:proofErr w:type="spellStart"/>
      <w:r>
        <w:t>Барслоу</w:t>
      </w:r>
      <w:proofErr w:type="spellEnd"/>
      <w:r>
        <w:t xml:space="preserve"> (1999), познавательные </w:t>
      </w:r>
      <w:r>
        <w:lastRenderedPageBreak/>
        <w:t>процессы опираются на «</w:t>
      </w:r>
      <w:proofErr w:type="spellStart"/>
      <w:r>
        <w:t>перцептуально</w:t>
      </w:r>
      <w:proofErr w:type="spellEnd"/>
      <w:r>
        <w:t xml:space="preserve">-символические» схемы, когда понятия формируются частично через воспоминания о зрительных или тактильных впечатлениях. Так, метафора может активировать связанный мозговой «метафорический» образ, подобно </w:t>
      </w:r>
      <w:proofErr w:type="gramStart"/>
      <w:r>
        <w:t>тому</w:t>
      </w:r>
      <w:proofErr w:type="gramEnd"/>
      <w:r>
        <w:t xml:space="preserve"> как при воспоминании о событии активируется участки зрительной коры. С этой точки зрения визуальность метафоры проявляется через внутреннее «проживание» описываемого в уме, а не только через вербальные пояснения.</w:t>
      </w:r>
    </w:p>
    <w:p w14:paraId="2BCA973A" w14:textId="28990B44" w:rsidR="00AA737A" w:rsidRDefault="00AA737A" w:rsidP="00AA737A">
      <w:pPr>
        <w:pStyle w:val="a0"/>
      </w:pPr>
      <w:r>
        <w:t>Семантические теории (Black, 1962) позволяют рассмотреть экономию знаков и двойственность смысла в метафоре. Однако их понятия (призма, каркас) лишь частично затрагивают визуальный элемент, в то время как прагматические модели (Рикер, 1995) более полно описывают вовлечение воображения и ощущений в момент понимания метафоры. По позициям когнитивно-прагматической лингвистики (</w:t>
      </w:r>
      <w:proofErr w:type="spellStart"/>
      <w:r>
        <w:t>Relevance</w:t>
      </w:r>
      <w:proofErr w:type="spellEnd"/>
      <w:r>
        <w:t xml:space="preserve"> </w:t>
      </w:r>
      <w:proofErr w:type="spellStart"/>
      <w:r>
        <w:t>Theory</w:t>
      </w:r>
      <w:proofErr w:type="spellEnd"/>
      <w:r>
        <w:t>), метафорическое понимание происходит через реконструкцию «умозрительных» посылок, которые могут порождать соответствующие ментальные картины. В частности, исследования (</w:t>
      </w:r>
      <w:proofErr w:type="spellStart"/>
      <w:r>
        <w:t>Carston</w:t>
      </w:r>
      <w:proofErr w:type="spellEnd"/>
      <w:r>
        <w:t xml:space="preserve"> 2018) показывают, что в процессе декодирования метафоры читатель может непроизвольно «видеть» образное содержание.</w:t>
      </w:r>
    </w:p>
    <w:p w14:paraId="16184E4F" w14:textId="7CCBD936" w:rsidR="00AA737A" w:rsidRDefault="00AA737A" w:rsidP="00AA737A">
      <w:pPr>
        <w:pStyle w:val="a0"/>
      </w:pPr>
      <w:r>
        <w:t>Методы когнитивной поэтики (</w:t>
      </w:r>
      <w:proofErr w:type="spellStart"/>
      <w:r>
        <w:t>Stockwell</w:t>
      </w:r>
      <w:proofErr w:type="spellEnd"/>
      <w:r>
        <w:t xml:space="preserve"> 2002; </w:t>
      </w:r>
      <w:proofErr w:type="spellStart"/>
      <w:r>
        <w:t>Semino</w:t>
      </w:r>
      <w:proofErr w:type="spellEnd"/>
      <w:r>
        <w:t xml:space="preserve"> 2008) допускают, что метафоры в тексте обладают степенью «наглядности» и «впечатлительности». В этой парадигме метафора ценится не только за логический смысл, но и за способность усиливать коннотативное и чувственное восприятие текста. Связь когнитивного и поэтического аспектов проявляется в том, что «темы, определяющие мир и наш опыт», освещаются метафорой не только рационально, но и через её образную, «</w:t>
      </w:r>
      <w:proofErr w:type="spellStart"/>
      <w:r>
        <w:t>импрессивную</w:t>
      </w:r>
      <w:proofErr w:type="spellEnd"/>
      <w:r>
        <w:t>» силу.</w:t>
      </w:r>
    </w:p>
    <w:p w14:paraId="3D80F60E" w14:textId="446FA93F" w:rsidR="00AA737A" w:rsidRDefault="00AA737A" w:rsidP="00AA737A">
      <w:pPr>
        <w:pStyle w:val="a0"/>
      </w:pPr>
      <w:r>
        <w:t>Корпус исследования составлен из образцовых текстов, ярко демонстрирующих визуальную образность. Во-первых, включён классический пример: монолог Жака из пьесы У. Шекспира «Как вам это понравится» («Весь мир – театр»), поскольку он в явном виде отождествляет мир с театром и наглядно визуализирует абстрактную идею жизни как представления. Во-вторых, выбран современный российский поэтический текст с выраженной метафорической структурой – стихотворение К.А. Кедрова «Бемоль» (1990-е гг.). Этот поэтический фрагмент изобилует визуальными метафорами («образ зеркала», «каскад зеркал», «погасший Зодиак»), что делает его пригодным для когнитивно-лингвистического анализа. Эти примеры репрезентативны: они иллюстрируют различные типы метафор (онтологические, структуральные и «</w:t>
      </w:r>
      <w:proofErr w:type="spellStart"/>
      <w:r>
        <w:t>синестетические</w:t>
      </w:r>
      <w:proofErr w:type="spellEnd"/>
      <w:r>
        <w:t>») и разные стилистические регистры (архаизированный поэтический перевод и современный экспериментальный стих).</w:t>
      </w:r>
    </w:p>
    <w:p w14:paraId="176C4A42" w14:textId="77777777" w:rsidR="00AA737A" w:rsidRDefault="00AA737A" w:rsidP="00AA737A">
      <w:pPr>
        <w:pStyle w:val="a0"/>
      </w:pPr>
      <w:r>
        <w:t>Методология исследования включает семантический анализ метафорических выражений и когнитивно-лингвистическую интерпретацию. Мы последовательно разбираем каждый пример: 1) выделяем языковую форму метафоры (включая номинативный троп, структурные повторения, образные эпитеты), 2) устанавливаем исходный и целевой домен концептуальной метафоры, 3) описываем ментальную визуализацию, которую, по нашему мнению, вызывает данная метафора, и 4) обсуждаем связь между этой визуализацией и исходным смыслом текста. Сопоставляя результаты анализа с идеями когнитивной теории и предыдущими исследованиями, проверяем гипотезу о когнитивной функции визуализации.</w:t>
      </w:r>
    </w:p>
    <w:p w14:paraId="30699148" w14:textId="53227E48" w:rsidR="00AA737A" w:rsidRDefault="00AA737A" w:rsidP="00AA737A">
      <w:pPr>
        <w:pStyle w:val="a0"/>
      </w:pPr>
      <w:r>
        <w:lastRenderedPageBreak/>
        <w:t xml:space="preserve">Монолог Жака у Шекспира: «Мир – театр; в нём женщины, мужчины, все – актёры…». Здесь мир (абстрактная реальность) уподобляется театру (конкретному пространству со сценой и актёрами). Концептуально это соответствует метафоре «ЖИЗНЬ (или МИР) – ТЕАТР». В результате у читателя или слушателя неизбежно возникает ментальный образ: сцена театра, рампа, артисты, костюмы. Благодаря такому образу абстрактные категории «жизненный путь человека» конкретизируются. Заметим, что в оригинале Шекспира («All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world’s</w:t>
      </w:r>
      <w:proofErr w:type="spellEnd"/>
      <w:r>
        <w:t xml:space="preserve"> a </w:t>
      </w:r>
      <w:proofErr w:type="spellStart"/>
      <w:r>
        <w:t>stage</w:t>
      </w:r>
      <w:proofErr w:type="spellEnd"/>
      <w:r>
        <w:t xml:space="preserve">…») каждый этап жизни описывается как отдельное «действие пьесы», что дополнительно усиливает образный эффект. В переводе Вейнберга первые две строки «Мир — театр; в нем женщины, мужчины, все — актеры…» служат «иконическим» якорем: читатель видит сцену и «героев» на ней. Семантически эта метафора не меняет фактическую информацию, но переносит акцент на визуальную форму бытия – на то, что жизнь разворачивается как зрелище. </w:t>
      </w:r>
      <w:proofErr w:type="spellStart"/>
      <w:r>
        <w:t>Когнитивно</w:t>
      </w:r>
      <w:proofErr w:type="spellEnd"/>
      <w:r>
        <w:t xml:space="preserve"> это достигается перекодированием социальных ролей в разряд «ролевой игры» (по сути схожие домены), что позволяет одновременно «увидеть» жизнь глазами свидетеля постановки. Таким образом, метафора «мир–театр» опирается на зрительный опыт (театр как модель мира) и включает читателя в образную ситуацию: мы как зрители.</w:t>
      </w:r>
    </w:p>
    <w:p w14:paraId="5CF73FAF" w14:textId="563C118D" w:rsidR="00AA737A" w:rsidRDefault="00AA737A" w:rsidP="00AA737A">
      <w:pPr>
        <w:pStyle w:val="a0"/>
      </w:pPr>
      <w:r>
        <w:t xml:space="preserve">Фрагмент стихотворения К.А. Кедрова «Бемоль». В нем встречаются многослойные визуальные метафоры: «Как образ зеркала взнесен над Петергофом…». Словосочетание «образ зеркала» вызывает ментальную картину зеркальной плоскости, парящей над дворцом, и затем разбрасывающей «каскад зеркал» вниз. Параллельно образованный «глухотой окутанный Бетховен» выступает «разнесшим по клавишам погасший Зодиак». Здесь совмещаются два домена: визуальный (зеркало, зеркальная геометрия, каскад отражений) и музыкальный (дефис в музыке, знак бемоль, «клавиши», «Зодиак» – музыкальная композиция). </w:t>
      </w:r>
      <w:proofErr w:type="spellStart"/>
      <w:r>
        <w:t>Метаметафорически</w:t>
      </w:r>
      <w:proofErr w:type="spellEnd"/>
      <w:r>
        <w:t xml:space="preserve"> это можно описать как «ЗВУК БЕТХОВЕНА – ЭТО СВЕТ И ОТРАЖЕНИЯ». Восприятие в этом эпизоде смешивается: читатель невольно представляет себе «каскад зеркал», падающих лучами, и одновременно «знаки Зодиака» на замершей клавиатуре под лучами света. Содержательно автор переносит качество «</w:t>
      </w:r>
      <w:proofErr w:type="spellStart"/>
      <w:r>
        <w:t>погашенности</w:t>
      </w:r>
      <w:proofErr w:type="spellEnd"/>
      <w:r>
        <w:t xml:space="preserve">» и «глухоты» в область «земного» облика света: Бетховен будто обрушивает на мир изнемогающий </w:t>
      </w:r>
      <w:proofErr w:type="spellStart"/>
      <w:r>
        <w:t>созвездный</w:t>
      </w:r>
      <w:proofErr w:type="spellEnd"/>
      <w:r>
        <w:t xml:space="preserve"> свет.</w:t>
      </w:r>
    </w:p>
    <w:p w14:paraId="14531630" w14:textId="350422DA" w:rsidR="00AA737A" w:rsidRDefault="00AA737A" w:rsidP="00AA737A">
      <w:pPr>
        <w:pStyle w:val="a0"/>
      </w:pPr>
      <w:proofErr w:type="spellStart"/>
      <w:r>
        <w:t>Когнитивно</w:t>
      </w:r>
      <w:proofErr w:type="spellEnd"/>
      <w:r>
        <w:t xml:space="preserve"> процесс таков: читатель видит воображаемое «зеркало над дворцом» и «отражения» (фонетически это усиливается параллелью между «зеркалом» и «Зодиаком»), а затем проектирует эту наглядную сцену на действие музыки. Механизм переноса основан на когнитивном союзе «как образ зеркала» (картинка 1) и «погасший Зодиак» (картинка 2). Образ зеркала ассоциируется со светом и отражениями, тогда как «погасший Зодиак» вызывает образ звездного света. Эти образы сходятся в общем «семантическом пространстве» (в терминах Рикера) – визуальном представлении, которое и является результатом метафоры. Заметим, что прямого «сходства» у буквального текста тут нет, это скорее интуитивная корреляция: оба домена (зеркало/свет и музыка/молчание) описаны через призму света. Таким образом метафора «свет» выступает «общим знаменателем», позволяя мозгу совместить два несовместимых мира.</w:t>
      </w:r>
    </w:p>
    <w:p w14:paraId="5286DB58" w14:textId="7AB9C661" w:rsidR="00AA737A" w:rsidRDefault="00AA737A" w:rsidP="00AA737A">
      <w:pPr>
        <w:pStyle w:val="a0"/>
      </w:pPr>
      <w:r>
        <w:t xml:space="preserve">В анализе примеров обращено внимание, что визуальные образы появляются не сами по себе, а в процессе когнитивной проекции: читатель по-новому «видит» описываемое. </w:t>
      </w:r>
      <w:r>
        <w:lastRenderedPageBreak/>
        <w:t xml:space="preserve">Метафорическая лексика «взнесен», «каскад», «лучи», «погасший» рождает динамичные картины. Причем каждый элемент текста (репрезентативные эпитеты, глагольные образы) способствует насыщению ментального видения. Удивительно, </w:t>
      </w:r>
      <w:proofErr w:type="gramStart"/>
      <w:r>
        <w:t>что</w:t>
      </w:r>
      <w:proofErr w:type="gramEnd"/>
      <w:r>
        <w:t xml:space="preserve"> даже осознавая переносный характер выражений, читающий «феноменологически» ощущает описанное как визуальный сценарий – это говорит об эмоционально-образной силе метафоры (ее прагматический эффект).</w:t>
      </w:r>
    </w:p>
    <w:p w14:paraId="1A99A9BF" w14:textId="75686BEF" w:rsidR="00AA737A" w:rsidRDefault="00AA737A" w:rsidP="00AA737A">
      <w:pPr>
        <w:pStyle w:val="a0"/>
      </w:pPr>
      <w:r>
        <w:t xml:space="preserve">Полученные результаты подтверждают, что метафора является эффективным средством порождения визуальной образности. Во-первых, концептуальная метафора «прошивается» в когнитивную структуру и объединяет два опыта – зачастую визуальный и абстрактный. Это согласуется с идеями </w:t>
      </w:r>
      <w:proofErr w:type="spellStart"/>
      <w:r>
        <w:t>Лакоффа</w:t>
      </w:r>
      <w:proofErr w:type="spellEnd"/>
      <w:r>
        <w:t xml:space="preserve"> и Джонсона, что «многие абстрактные понятия мы осмысливаем через более конкретные образы». Например, «Мир–театр» превращает жизненный опыт в качественно новый образ, понятный через наш зрительный опыт сцены. Во-вторых, в механизме метафоризации задействованы образные схемы: путь, сцена, зеркало, зрение и т.п., которые универсальны и лежат в основе множества формулировок. Эти схемы предоставляют «каркас», на который накидываются подробности: у Шекспира это «актёр» как ролевая схема, у Кедрова – «зеркало» как схема отражения.</w:t>
      </w:r>
    </w:p>
    <w:p w14:paraId="1411B1A5" w14:textId="77777777" w:rsidR="00AA737A" w:rsidRDefault="00AA737A" w:rsidP="00AA737A">
      <w:pPr>
        <w:pStyle w:val="a0"/>
      </w:pPr>
      <w:r>
        <w:t>Когнитивно-</w:t>
      </w:r>
      <w:proofErr w:type="spellStart"/>
      <w:r>
        <w:t>нейрофизиологически</w:t>
      </w:r>
      <w:proofErr w:type="spellEnd"/>
      <w:r>
        <w:t xml:space="preserve"> можно предположить участие образного мышления и перцептивной симуляции (</w:t>
      </w:r>
      <w:proofErr w:type="spellStart"/>
      <w:r>
        <w:t>Gibbs</w:t>
      </w:r>
      <w:proofErr w:type="spellEnd"/>
      <w:r>
        <w:t xml:space="preserve"> 2006; </w:t>
      </w:r>
      <w:proofErr w:type="spellStart"/>
      <w:r>
        <w:t>Barsalou</w:t>
      </w:r>
      <w:proofErr w:type="spellEnd"/>
      <w:r>
        <w:t xml:space="preserve"> 1999). То есть при чтении таких метафор мозг, возможно, активирует аналогичные области, что при реальном зрительном восприятии подобной сцены. Это согласуется с идеей двойного кодирования (</w:t>
      </w:r>
      <w:proofErr w:type="spellStart"/>
      <w:r>
        <w:t>Paivio</w:t>
      </w:r>
      <w:proofErr w:type="spellEnd"/>
      <w:r>
        <w:t xml:space="preserve"> 1971): метафора одновременно вызывает вербальное понимание и «визуальный» ментальный образ. Практически, читатель может сознательно представлять сцену – так, как при воображении происходящего, – что усиливает семантическую сторону высказывания.</w:t>
      </w:r>
    </w:p>
    <w:p w14:paraId="05D8D5B2" w14:textId="11D6E48D" w:rsidR="00AA737A" w:rsidRDefault="00AA737A" w:rsidP="00AA737A">
      <w:pPr>
        <w:pStyle w:val="a0"/>
      </w:pPr>
      <w:r>
        <w:t>Семантически, метафоры создают новое «семантическое пространство», где значения исходного и целевого доменов сосуществуют. В «Бемоле» семантика музыки дополняется зрительными коннотациями света, а у Шекспира – категория жизни переосмысляется через призму представления. С точки зрения прагматики, метафоры привлекают внимание и задают тональность: использование образных сравнений или переносов обещает необычное «видение» действительности. А поэтический аспект достигается тем, что метафоры работают как «очи» текста – они формируют у читателя конкретные картинки и эмоции, затрагивая эстетическую сторону восприятия.</w:t>
      </w:r>
    </w:p>
    <w:p w14:paraId="6A8ABD77" w14:textId="77777777" w:rsidR="00AA737A" w:rsidRDefault="00AA737A" w:rsidP="00AA737A">
      <w:pPr>
        <w:pStyle w:val="a0"/>
      </w:pPr>
      <w:r>
        <w:t>Таким образом, совокупность когнитивных, семантических и прагматических факторов показывает: метафора выступает не просто «тропом красоты», а органичным когнитивным инструментом визуализации. Она связывает язык и опыт таким образом, что абстрактное содержание «делается видимым» для воображения. Эти выводы подтверждают гипотезу исследования и согласуются с классической когнитивной парадигмой: метафора мотивирована и структурирует мысль, а результатом её действия нередко является яркий зрительный образ.</w:t>
      </w:r>
    </w:p>
    <w:p w14:paraId="67937A16" w14:textId="77777777" w:rsidR="00AA737A" w:rsidRDefault="00AA737A" w:rsidP="00AA737A">
      <w:pPr>
        <w:pStyle w:val="a0"/>
      </w:pPr>
      <w:r>
        <w:t xml:space="preserve">Проведённый анализ убедительно демонстрирует: метафора служит когнитивным механизмом формирования визуальной образности в тексте. На примерах Шекспира и Кедрова показано, что метафорические выражения вызывают у читателя конкретные </w:t>
      </w:r>
      <w:r>
        <w:lastRenderedPageBreak/>
        <w:t>ментальные картины – сцены театра, зеркальные каскады, световые узоры и др. Эти образы возникают благодаря картированию признаков между концептуальными полями и активации телесно-опытных схем. Семантические функции метафоры (передача новых смыслов) переплетены с когнитивной функцией (создание внутреннего «зрения» текста). Прагматические условия (тема произведения, авторская интенция) предопределяют, какие именно визуальные элементы окажутся релевантными, а поэтическая функция метафоры усиливает эмоциональное восприятие этого образа.</w:t>
      </w:r>
    </w:p>
    <w:p w14:paraId="1FBF8180" w14:textId="77777777" w:rsidR="00AA737A" w:rsidRDefault="00AA737A" w:rsidP="00AA737A">
      <w:pPr>
        <w:pStyle w:val="a0"/>
      </w:pPr>
      <w:r>
        <w:t xml:space="preserve">Таким образом, метафора оказывается ключевым «инструментом» не только смыслового насыщения, но и визуализации содержания. Она превращает слова в «окна» для воображения – и мы видим текст так, будто он был картиной. Полученные выводы поддерживают современный взгляд на метафору как на неотъемлемую часть когнитивной архитектуры языка, а не только стиля. В дальнейшем важно расширить корпус исследований: проанализировать и другие жанры (например, медийные тексты, научную прозу) и проверить описанные механизмы на эмпирических данных (в экспериментах, </w:t>
      </w:r>
      <w:proofErr w:type="spellStart"/>
      <w:r>
        <w:t>нейроизмерениях</w:t>
      </w:r>
      <w:proofErr w:type="spellEnd"/>
      <w:r>
        <w:t>).</w:t>
      </w:r>
    </w:p>
    <w:p w14:paraId="46B0B984" w14:textId="797480E5" w:rsidR="00EE6549" w:rsidRDefault="00EE6549">
      <w:pPr>
        <w:pStyle w:val="a0"/>
      </w:pPr>
    </w:p>
    <w:sectPr w:rsidR="00EE6549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880D3A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941228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6549"/>
    <w:rsid w:val="00AA737A"/>
    <w:rsid w:val="00AC54A7"/>
    <w:rsid w:val="00EE6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251CE"/>
  <w15:docId w15:val="{B2E156C7-2A22-3841-86D5-72384A8C8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2561</Words>
  <Characters>14604</Characters>
  <Application>Microsoft Office Word</Application>
  <DocSecurity>0</DocSecurity>
  <Lines>121</Lines>
  <Paragraphs>34</Paragraphs>
  <ScaleCrop>false</ScaleCrop>
  <Company/>
  <LinksUpToDate>false</LinksUpToDate>
  <CharactersWithSpaces>17131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Оксана Гончарова</cp:lastModifiedBy>
  <cp:revision>2</cp:revision>
  <dcterms:created xsi:type="dcterms:W3CDTF">2026-04-25T22:21:00Z</dcterms:created>
  <dcterms:modified xsi:type="dcterms:W3CDTF">2026-04-26T20:23:00Z</dcterms:modified>
  <dc:language>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