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8AA4" w14:textId="77777777" w:rsidR="0089120B" w:rsidRPr="008E64DF" w:rsidRDefault="00000000">
      <w:pPr>
        <w:pStyle w:val="FirstParagraph"/>
        <w:rPr>
          <w:lang w:val="ru-RU"/>
        </w:rPr>
      </w:pPr>
      <w:r w:rsidRPr="008E64DF">
        <w:rPr>
          <w:lang w:val="ru-RU"/>
        </w:rPr>
        <w:t>На протяжении многих лет метафора является, пожалуй, одним из самых исследуемых, неоднозначных явлений языка, по мнению же ее многочисленных исследователей, метафора представляет собой также и неисчерпаемое явление, начиная с античных времен, где метафора получает наиболее общее оформление, и до последних десятилетий двадцатого века, когда метафора обрела статус одного из центральных объектов когнитивных исследований языка.</w:t>
      </w:r>
    </w:p>
    <w:p w14:paraId="56BD83E1" w14:textId="77777777" w:rsidR="0089120B" w:rsidRPr="008E64DF" w:rsidRDefault="00000000">
      <w:pPr>
        <w:pStyle w:val="a0"/>
        <w:rPr>
          <w:lang w:val="ru-RU"/>
        </w:rPr>
      </w:pPr>
      <w:r w:rsidRPr="008E64DF">
        <w:rPr>
          <w:lang w:val="ru-RU"/>
        </w:rPr>
        <w:t>В трудах античных авторов, обращавших особое внимание на способы придания выразительности мысли, метафора привлекала своих исследователей практической ценностью – целями и способами ее функционирования в речи. В работах Аристотеля и других античных мыслителей метафора рассматривалась, прежде всего, как некая разновидность замещения слов и часто отождествлялась со сравнением. Так, Аристотель особо подчеркивал тот факт, что в отличие от сравнения метафора «не так приятна – ибо длиннее».</w:t>
      </w:r>
    </w:p>
    <w:p w14:paraId="3F792176" w14:textId="77777777" w:rsidR="0089120B" w:rsidRPr="008E64DF" w:rsidRDefault="00000000">
      <w:pPr>
        <w:pStyle w:val="a0"/>
        <w:rPr>
          <w:lang w:val="ru-RU"/>
        </w:rPr>
      </w:pPr>
      <w:r w:rsidRPr="008E64DF">
        <w:rPr>
          <w:lang w:val="ru-RU"/>
        </w:rPr>
        <w:t>Ценность метафоры у античных мыслителей заключалась в ее новизне и ясности, в «удовольствии узнавания», особо подчеркивалась ее эстетическая функция. Так, метафора рассматривалась как «поэтическая безделушка», цель которой – разнообразить скудный в то время запас лексических средств. Предостерегая от злоупотребления метафорой, Аристотель, тем не менее, обращал внимание на то, что метафорические переносы могут способствовать усилению аргументации и положительного воздействия на слушателя.</w:t>
      </w:r>
    </w:p>
    <w:p w14:paraId="250573BA" w14:textId="77777777" w:rsidR="0089120B" w:rsidRPr="008E64DF" w:rsidRDefault="00000000">
      <w:pPr>
        <w:pStyle w:val="a0"/>
        <w:rPr>
          <w:lang w:val="ru-RU"/>
        </w:rPr>
      </w:pPr>
      <w:r w:rsidRPr="008E64DF">
        <w:rPr>
          <w:lang w:val="ru-RU"/>
        </w:rPr>
        <w:t xml:space="preserve">Уже на ранних этапах исследований явления метафоры предпринимались попытки изучения и описания и когнитивных возможностей метафорических переносов, а также указывалось на то, что достоинство метафоры не только лишь в ее статусе языкового украшения, но и в возможности ее функционирования как одного из средств для кодирования смысловых значений – взгляд, находящий отклик и в работах исследователей современности. Так, Д. </w:t>
      </w:r>
      <w:proofErr w:type="spellStart"/>
      <w:r w:rsidRPr="008E64DF">
        <w:rPr>
          <w:lang w:val="ru-RU"/>
        </w:rPr>
        <w:t>Лакофф</w:t>
      </w:r>
      <w:proofErr w:type="spellEnd"/>
      <w:r w:rsidRPr="008E64DF">
        <w:rPr>
          <w:lang w:val="ru-RU"/>
        </w:rPr>
        <w:t xml:space="preserve"> впоследствии определит метафору как фундаментальный, когнитивный агент, который организует наши мысли, оформляет суждения и структурирует язык.</w:t>
      </w:r>
    </w:p>
    <w:p w14:paraId="5D356176" w14:textId="77777777" w:rsidR="0089120B" w:rsidRPr="008E64DF" w:rsidRDefault="00000000">
      <w:pPr>
        <w:pStyle w:val="a0"/>
        <w:rPr>
          <w:lang w:val="ru-RU"/>
        </w:rPr>
      </w:pPr>
      <w:r w:rsidRPr="008E64DF">
        <w:rPr>
          <w:lang w:val="ru-RU"/>
        </w:rPr>
        <w:t>Отсутствие единства взглядов на механизм образования метафоры на протяжении столетий, породившее, как известно, бесчисленное множество теорий, тем не менее, позволяет говорить о двух основных оформившихся тенденциях рассмотрения метафоры на современном этапе – семантической и прагматической. Приверженцы первого подхода (М. Блэк, А. Ричардс) придерживаются мнения о том, что сущность метафоры в общих чертах заключается в образовании нового смысла при соединении двух идей в их взаимодействии в одном образе, а также в активном объединении в рамках метафорической конструкции двух разрозненных представлений, «двух мыслей о двух различных вещах». Как известно, введенные Ричардсом понятия проводника метафорического переноса (</w:t>
      </w:r>
      <w:r>
        <w:t>vehicle</w:t>
      </w:r>
      <w:r w:rsidRPr="008E64DF">
        <w:rPr>
          <w:lang w:val="ru-RU"/>
        </w:rPr>
        <w:t>) и его носителя (</w:t>
      </w:r>
      <w:r>
        <w:t>tenor</w:t>
      </w:r>
      <w:r w:rsidRPr="008E64DF">
        <w:rPr>
          <w:lang w:val="ru-RU"/>
        </w:rPr>
        <w:t>) и описания их взаимодействия получили дальнейшую интерпретацию в работах М. Блэка, в свою очередь выдвигавшего идею о вспомогательном субъекте (</w:t>
      </w:r>
      <w:r>
        <w:t>subsidiary</w:t>
      </w:r>
      <w:r w:rsidRPr="008E64DF">
        <w:rPr>
          <w:lang w:val="ru-RU"/>
        </w:rPr>
        <w:t xml:space="preserve"> </w:t>
      </w:r>
      <w:r>
        <w:t>subject</w:t>
      </w:r>
      <w:r w:rsidRPr="008E64DF">
        <w:rPr>
          <w:lang w:val="ru-RU"/>
        </w:rPr>
        <w:t>), служащем средством презентации метафорических образов, и о системе, связанных с ним ассоциированных общих значений (</w:t>
      </w:r>
      <w:r>
        <w:t>a</w:t>
      </w:r>
      <w:r w:rsidRPr="008E64DF">
        <w:rPr>
          <w:lang w:val="ru-RU"/>
        </w:rPr>
        <w:t xml:space="preserve"> </w:t>
      </w:r>
      <w:r>
        <w:t>system</w:t>
      </w:r>
      <w:r w:rsidRPr="008E64DF">
        <w:rPr>
          <w:lang w:val="ru-RU"/>
        </w:rPr>
        <w:t xml:space="preserve"> </w:t>
      </w:r>
      <w:r>
        <w:t>of</w:t>
      </w:r>
      <w:r w:rsidRPr="008E64DF">
        <w:rPr>
          <w:lang w:val="ru-RU"/>
        </w:rPr>
        <w:t xml:space="preserve"> </w:t>
      </w:r>
      <w:r>
        <w:t>associated</w:t>
      </w:r>
      <w:r w:rsidRPr="008E64DF">
        <w:rPr>
          <w:lang w:val="ru-RU"/>
        </w:rPr>
        <w:t xml:space="preserve"> </w:t>
      </w:r>
      <w:r>
        <w:t>commonplaces</w:t>
      </w:r>
      <w:r w:rsidRPr="008E64DF">
        <w:rPr>
          <w:lang w:val="ru-RU"/>
        </w:rPr>
        <w:t>), выступающей в качестве предикативной составляющей его метафорического значения. Полагая, что метафора – это не изолированное словоупотребление, 1</w:t>
      </w:r>
    </w:p>
    <w:p w14:paraId="63E8E33A" w14:textId="77777777" w:rsidR="0089120B" w:rsidRPr="008E64DF" w:rsidRDefault="00000000">
      <w:pPr>
        <w:pStyle w:val="a0"/>
        <w:rPr>
          <w:lang w:val="ru-RU"/>
        </w:rPr>
      </w:pPr>
      <w:r w:rsidRPr="008E64DF">
        <w:rPr>
          <w:lang w:val="ru-RU"/>
        </w:rPr>
        <w:lastRenderedPageBreak/>
        <w:t xml:space="preserve">Следует отметить, что данное деление не является исчерпывающим. Так, С.А. Фридрих </w:t>
      </w:r>
      <w:proofErr w:type="gramStart"/>
      <w:r w:rsidRPr="008E64DF">
        <w:rPr>
          <w:lang w:val="ru-RU"/>
        </w:rPr>
        <w:t>отмечает</w:t>
      </w:r>
      <w:proofErr w:type="gramEnd"/>
      <w:r w:rsidRPr="008E64DF">
        <w:rPr>
          <w:lang w:val="ru-RU"/>
        </w:rPr>
        <w:t xml:space="preserve"> как минимум четыре подхода к изучению метафоры. Им выделяются: 1 – традиционный (от Аристотеля) подход, основу которого составляют поиски объективных критериев узнавания метафоры в речи и построение на этой основе семантических классификаций; 2 – семантический, признающий в метафоре универсальный механизм; 3 – структурный, описывающий различные способы выражения метафоры в речи (К. Брук-Роуз); 4 – семантико-структурный, занимающийся формализацией контекста метафоры на основе выделения в речи метафорических групп (Ю.Л. </w:t>
      </w:r>
      <w:proofErr w:type="spellStart"/>
      <w:r w:rsidRPr="008E64DF">
        <w:rPr>
          <w:lang w:val="ru-RU"/>
        </w:rPr>
        <w:t>Лясота</w:t>
      </w:r>
      <w:proofErr w:type="spellEnd"/>
      <w:r w:rsidRPr="008E64DF">
        <w:rPr>
          <w:lang w:val="ru-RU"/>
        </w:rPr>
        <w:t>). а часть предложения, он вводит понятие фокуса “</w:t>
      </w:r>
      <w:r>
        <w:t>focus</w:t>
      </w:r>
      <w:r w:rsidRPr="008E64DF">
        <w:rPr>
          <w:lang w:val="ru-RU"/>
        </w:rPr>
        <w:t>” для обозначения собственно ядра метафоры и рамки “</w:t>
      </w:r>
      <w:r>
        <w:t>frame</w:t>
      </w:r>
      <w:r w:rsidRPr="008E64DF">
        <w:rPr>
          <w:lang w:val="ru-RU"/>
        </w:rPr>
        <w:t>” – его окружения.</w:t>
      </w:r>
    </w:p>
    <w:p w14:paraId="78620F78" w14:textId="77777777" w:rsidR="0089120B" w:rsidRPr="008E64DF" w:rsidRDefault="00000000">
      <w:pPr>
        <w:pStyle w:val="a0"/>
        <w:rPr>
          <w:lang w:val="ru-RU"/>
        </w:rPr>
      </w:pPr>
      <w:r w:rsidRPr="008E64DF">
        <w:rPr>
          <w:lang w:val="ru-RU"/>
        </w:rPr>
        <w:t>Представители прагматического направления (</w:t>
      </w:r>
      <w:proofErr w:type="spellStart"/>
      <w:r w:rsidRPr="008E64DF">
        <w:rPr>
          <w:lang w:val="ru-RU"/>
        </w:rPr>
        <w:t>Грайс</w:t>
      </w:r>
      <w:proofErr w:type="spellEnd"/>
      <w:r w:rsidRPr="008E64DF">
        <w:rPr>
          <w:lang w:val="ru-RU"/>
        </w:rPr>
        <w:t xml:space="preserve">, </w:t>
      </w:r>
      <w:proofErr w:type="spellStart"/>
      <w:r w:rsidRPr="008E64DF">
        <w:rPr>
          <w:lang w:val="ru-RU"/>
        </w:rPr>
        <w:t>Серль</w:t>
      </w:r>
      <w:proofErr w:type="spellEnd"/>
      <w:r w:rsidRPr="008E64DF">
        <w:rPr>
          <w:lang w:val="ru-RU"/>
        </w:rPr>
        <w:t>) в своих взглядах близки к античным философам, усматривая суть метафоры в ее эстетической роли, умаляя, а иногда и отрицая возможность создания нового смысла в рамках метафорической конструкции. Для них содержание метафоры, по сути, ничем не отличается от лежащих в ее основе буквального смысла. К примеру, Д. Дэвидсон выступил против попыток объяснения метафорического переноса путем «приписывания» метафорическим конструкциям дополнительного смысла. Внешняя оболочка метафоры не способна передать точный смысл, лишь инициируя закодированное информативное послание, требующее от адресата умения адекватно декодировать имплицитно представленный смысл.</w:t>
      </w:r>
    </w:p>
    <w:p w14:paraId="64F861E8" w14:textId="77777777" w:rsidR="0089120B" w:rsidRPr="008E64DF" w:rsidRDefault="00000000">
      <w:pPr>
        <w:pStyle w:val="a0"/>
        <w:rPr>
          <w:lang w:val="ru-RU"/>
        </w:rPr>
      </w:pPr>
      <w:r w:rsidRPr="008E64DF">
        <w:rPr>
          <w:lang w:val="ru-RU"/>
        </w:rPr>
        <w:t>Вопрос о природе и сущности метафоры всегда представлялся исследователям «плодотворным полем» для исследования в силу своей сложности и неоднозначности. Традиционное представление метафоры, как известно, на определенном этапе перестало устраивать исследователей. Возрастающее внимание к механизму образования метафоры на современном этапе послужило своеобразным стимулом к появлению ряда концепций, в основе которых лежит положение о том, что метафора основывается на взаимодействии двух концептуальных пространств – с одной стороны, отражаемого метафорой пространства (ср. термин Ричардса “</w:t>
      </w:r>
      <w:r>
        <w:t>tenor</w:t>
      </w:r>
      <w:r w:rsidRPr="008E64DF">
        <w:rPr>
          <w:lang w:val="ru-RU"/>
        </w:rPr>
        <w:t>”), с другой, пространства, несущего метафорическое описание (</w:t>
      </w:r>
      <w:r>
        <w:t>vehicle</w:t>
      </w:r>
      <w:r w:rsidRPr="008E64DF">
        <w:rPr>
          <w:lang w:val="ru-RU"/>
        </w:rPr>
        <w:t xml:space="preserve">). Концепция </w:t>
      </w:r>
      <w:proofErr w:type="spellStart"/>
      <w:r w:rsidRPr="008E64DF">
        <w:rPr>
          <w:lang w:val="ru-RU"/>
        </w:rPr>
        <w:t>двухпространственной</w:t>
      </w:r>
      <w:proofErr w:type="spellEnd"/>
      <w:r w:rsidRPr="008E64DF">
        <w:rPr>
          <w:lang w:val="ru-RU"/>
        </w:rPr>
        <w:t xml:space="preserve"> модели метафоры со временем была дополнена Д. </w:t>
      </w:r>
      <w:proofErr w:type="spellStart"/>
      <w:r w:rsidRPr="008E64DF">
        <w:rPr>
          <w:lang w:val="ru-RU"/>
        </w:rPr>
        <w:t>Фоконье</w:t>
      </w:r>
      <w:proofErr w:type="spellEnd"/>
      <w:r w:rsidRPr="008E64DF">
        <w:rPr>
          <w:lang w:val="ru-RU"/>
        </w:rPr>
        <w:t xml:space="preserve"> и М. Тернером, представившим механизм образования метафоры в рамках концептуальной интеграции, увеличив два традиционных вводных пространства (</w:t>
      </w:r>
      <w:r>
        <w:t>input</w:t>
      </w:r>
      <w:r w:rsidRPr="008E64DF">
        <w:rPr>
          <w:lang w:val="ru-RU"/>
        </w:rPr>
        <w:t xml:space="preserve"> </w:t>
      </w:r>
      <w:r>
        <w:t>spaces</w:t>
      </w:r>
      <w:r w:rsidRPr="008E64DF">
        <w:rPr>
          <w:lang w:val="ru-RU"/>
        </w:rPr>
        <w:t>) двумя дополнительными – общим пространством (</w:t>
      </w:r>
      <w:r>
        <w:t>generic</w:t>
      </w:r>
      <w:r w:rsidRPr="008E64DF">
        <w:rPr>
          <w:lang w:val="ru-RU"/>
        </w:rPr>
        <w:t xml:space="preserve"> </w:t>
      </w:r>
      <w:r>
        <w:t>space</w:t>
      </w:r>
      <w:r w:rsidRPr="008E64DF">
        <w:rPr>
          <w:lang w:val="ru-RU"/>
        </w:rPr>
        <w:t>), в котором сосредоточены свойства, общие для вводных пространств, и смешанным пространством (</w:t>
      </w:r>
      <w:r>
        <w:t>blend</w:t>
      </w:r>
      <w:r w:rsidRPr="008E64DF">
        <w:rPr>
          <w:lang w:val="ru-RU"/>
        </w:rPr>
        <w:t>), содержащим концептуальный продукт интеграции. Общее пространство также служит медиатором между содержанием вводных пространств, приводя их в структурное соответствие. Авторы концепции не без основания полагали, что интеграционная теория убедительно иллюстрирует тот факт, что свойства некоторых метафор с точки зрения вводных пространств не объяснимы. Таким образом, в своем описании природы метафоры ученые обращаются, прежде всего, к сфере мышления.</w:t>
      </w:r>
    </w:p>
    <w:p w14:paraId="27D0F01A" w14:textId="77777777" w:rsidR="0089120B" w:rsidRPr="008E64DF" w:rsidRDefault="00000000">
      <w:pPr>
        <w:pStyle w:val="a0"/>
        <w:rPr>
          <w:lang w:val="ru-RU"/>
        </w:rPr>
      </w:pPr>
      <w:r w:rsidRPr="008E64DF">
        <w:rPr>
          <w:lang w:val="ru-RU"/>
        </w:rPr>
        <w:t xml:space="preserve">Одними из основополагающих взглядов на природу и сущность метафоры в работах отечественных лингвистов можно считать взгляды И.Р. Гальперина и его школы, давших обоснование явлению метафоры в лингвистических категориях. Метафора была представлена как взаимодействие словарного и контекстуального значений, как скрытое сравнение, в котором вышеуказанное взаимодействие может оказывать влияние на значение-источник метафоры по отношению к </w:t>
      </w:r>
      <w:proofErr w:type="spellStart"/>
      <w:r w:rsidRPr="008E64DF">
        <w:rPr>
          <w:lang w:val="ru-RU"/>
        </w:rPr>
        <w:t>значениюцели</w:t>
      </w:r>
      <w:proofErr w:type="spellEnd"/>
      <w:r w:rsidRPr="008E64DF">
        <w:rPr>
          <w:lang w:val="ru-RU"/>
        </w:rPr>
        <w:t>.</w:t>
      </w:r>
    </w:p>
    <w:p w14:paraId="7EBB4C99" w14:textId="7FDCF71C" w:rsidR="0089120B" w:rsidRPr="008E64DF" w:rsidRDefault="00000000" w:rsidP="008E64DF">
      <w:pPr>
        <w:pStyle w:val="a0"/>
        <w:rPr>
          <w:lang w:val="ru-RU"/>
        </w:rPr>
      </w:pPr>
      <w:r w:rsidRPr="008E64DF">
        <w:rPr>
          <w:lang w:val="ru-RU"/>
        </w:rPr>
        <w:lastRenderedPageBreak/>
        <w:t xml:space="preserve">Рассмотрение явления метафоры традиционно предполагало и отнесение ее к одному из трех основных выделяемых уровней – языку как системе (языковая, мертвая или стертая метафора), речи (живая, поэтическая метафора), а также выделение метафоры, занимающей промежуточное положение, инкорпорируясь как в систему языка, так и в систему речи. Известно, что языковая метафора, являясь, по сути, отражением языкового опыта коллектива, «подстраивается» под синтаксическую структуру языка, тогда как речевая, поэтическая метафора отражает по большей части индивидуальное </w:t>
      </w:r>
      <w:proofErr w:type="spellStart"/>
      <w:r w:rsidRPr="008E64DF">
        <w:rPr>
          <w:lang w:val="ru-RU"/>
        </w:rPr>
        <w:t>вèдение</w:t>
      </w:r>
      <w:proofErr w:type="spellEnd"/>
      <w:r w:rsidRPr="008E64DF">
        <w:rPr>
          <w:lang w:val="ru-RU"/>
        </w:rPr>
        <w:t xml:space="preserve"> мира и обладает зависимостью от ситуативного контекста употребления. Следует также заметить и то, что для языка газеты характерно довольно широкое использование языковых метафор, которые легко прочитываются и декодируются читателем. Для оживления, усиления или обновления языкового образа метафоры широко применяется и вовлечение в процесс метафоризации лексических единиц одного с языковой метафорой семантического поля, а также использование в переносном значении слов-дериватов языковых метафор в их первичном значении. </w:t>
      </w:r>
    </w:p>
    <w:p w14:paraId="727673FA" w14:textId="77777777" w:rsidR="0089120B" w:rsidRPr="008E64DF" w:rsidRDefault="00000000">
      <w:pPr>
        <w:pStyle w:val="a0"/>
        <w:rPr>
          <w:lang w:val="ru-RU"/>
        </w:rPr>
      </w:pPr>
      <w:r w:rsidRPr="008E64DF">
        <w:rPr>
          <w:lang w:val="ru-RU"/>
        </w:rPr>
        <w:t>Отсутствие четко выраженной границы между речевой и языковой образностью позволяет обнаружить значительное количество промежуточных форм. Подчас в роли речевой метафоры выступает метафора стертая, ставшая элементом, полностью интегрированным в систему языка.</w:t>
      </w:r>
    </w:p>
    <w:p w14:paraId="454C3B53" w14:textId="77777777" w:rsidR="0089120B" w:rsidRPr="008E64DF" w:rsidRDefault="00000000">
      <w:pPr>
        <w:pStyle w:val="a0"/>
        <w:rPr>
          <w:lang w:val="ru-RU"/>
        </w:rPr>
      </w:pPr>
      <w:r w:rsidRPr="008E64DF">
        <w:rPr>
          <w:lang w:val="ru-RU"/>
        </w:rPr>
        <w:t xml:space="preserve">Языковые единицы, участвующие в образовании метафор, занимающих промежуточное положение между системами язык – речь, в последнее время привлекают внимание исследователей, которые обращаются к исследованию и описанию их сущности – способности служить мыслительным средством. Подобные «пограничные» или концептуальные метафоры также могут служить и средством вторичных номинаций, при которых языковые единицы, с одной стороны, не обладают ярко выраженной языковой закрепленностью, а с другой, – находятся на пути вхождения и закрепления в языке. Обычно отмечается, что данные метафоры не требуют особых усилий для своего декодирования, в том числе, и вне контекста, но, как и стилистические метафоры, они способствуют расширению возможностей </w:t>
      </w:r>
      <w:proofErr w:type="spellStart"/>
      <w:r w:rsidRPr="008E64DF">
        <w:rPr>
          <w:lang w:val="ru-RU"/>
        </w:rPr>
        <w:t>ассоциативнообразного</w:t>
      </w:r>
      <w:proofErr w:type="spellEnd"/>
      <w:r w:rsidRPr="008E64DF">
        <w:rPr>
          <w:lang w:val="ru-RU"/>
        </w:rPr>
        <w:t xml:space="preserve"> восприятия действительности, а также могут служить основой для формирования стилистических метафор.</w:t>
      </w:r>
    </w:p>
    <w:p w14:paraId="188CC296" w14:textId="77777777" w:rsidR="0089120B" w:rsidRPr="008E64DF" w:rsidRDefault="00000000">
      <w:pPr>
        <w:pStyle w:val="a0"/>
        <w:rPr>
          <w:lang w:val="ru-RU"/>
        </w:rPr>
      </w:pPr>
      <w:r w:rsidRPr="008E64DF">
        <w:rPr>
          <w:lang w:val="ru-RU"/>
        </w:rPr>
        <w:t xml:space="preserve">Внимание к номинативному потенциалу метафоры было традиционно обусловлено рядом факторов, среди которых, прежде всего, особо выделялась природа самой ее структуры. По мнению В.Н. </w:t>
      </w:r>
      <w:proofErr w:type="spellStart"/>
      <w:r w:rsidRPr="008E64DF">
        <w:rPr>
          <w:lang w:val="ru-RU"/>
        </w:rPr>
        <w:t>Телия</w:t>
      </w:r>
      <w:proofErr w:type="spellEnd"/>
      <w:r w:rsidRPr="008E64DF">
        <w:rPr>
          <w:lang w:val="ru-RU"/>
        </w:rPr>
        <w:t>, метафора – «это утверждение о свойствах объекта на основе некоторого подобия с уже обозначенным в переосмысленном значении слова». Сама же техника метафоры рассматривается как основной прием косвенной номинации, целью которой является создание новых значений. Таким образом, метафоризация рассматривается как номинативная деятельность, выдвигающая на первый план смысловое содержание языковой сущности.</w:t>
      </w:r>
    </w:p>
    <w:p w14:paraId="6B11A964" w14:textId="77777777" w:rsidR="0089120B" w:rsidRPr="008E64DF" w:rsidRDefault="00000000">
      <w:pPr>
        <w:pStyle w:val="a0"/>
        <w:rPr>
          <w:lang w:val="ru-RU"/>
        </w:rPr>
      </w:pPr>
      <w:r w:rsidRPr="008E64DF">
        <w:rPr>
          <w:lang w:val="ru-RU"/>
        </w:rPr>
        <w:t xml:space="preserve">Рассматривая процесс номинации как речемыслительный процесс, в котором индивид проходит несколько этапов от мысли о явлении до выбора или создания для него единиц номинации, Е.С. </w:t>
      </w:r>
      <w:proofErr w:type="spellStart"/>
      <w:r w:rsidRPr="008E64DF">
        <w:rPr>
          <w:lang w:val="ru-RU"/>
        </w:rPr>
        <w:t>Кубрякова</w:t>
      </w:r>
      <w:proofErr w:type="spellEnd"/>
      <w:r w:rsidRPr="008E64DF">
        <w:rPr>
          <w:lang w:val="ru-RU"/>
        </w:rPr>
        <w:t xml:space="preserve"> и другие указывают на неизбежное для данной ситуации «переплетение» интенций говорящего и его индивидуального отношения: «Номинативная деятельность связана с практическим овладением, познанием и отражением объективного для человека и субъективного его мира».</w:t>
      </w:r>
    </w:p>
    <w:p w14:paraId="1F9C4450" w14:textId="77777777" w:rsidR="0089120B" w:rsidRPr="008E64DF" w:rsidRDefault="00000000">
      <w:pPr>
        <w:pStyle w:val="a0"/>
        <w:rPr>
          <w:lang w:val="ru-RU"/>
        </w:rPr>
      </w:pPr>
      <w:r w:rsidRPr="008E64DF">
        <w:rPr>
          <w:lang w:val="ru-RU"/>
        </w:rPr>
        <w:lastRenderedPageBreak/>
        <w:t xml:space="preserve">Вторичная номинация в свою очередь определяется В.Н. </w:t>
      </w:r>
      <w:proofErr w:type="spellStart"/>
      <w:r w:rsidRPr="008E64DF">
        <w:rPr>
          <w:lang w:val="ru-RU"/>
        </w:rPr>
        <w:t>Телия</w:t>
      </w:r>
      <w:proofErr w:type="spellEnd"/>
      <w:r w:rsidRPr="008E64DF">
        <w:rPr>
          <w:lang w:val="ru-RU"/>
        </w:rPr>
        <w:t xml:space="preserve"> как «использование уже имеющихся в языке номинативных средств в новой для них функции наречения».</w:t>
      </w:r>
    </w:p>
    <w:p w14:paraId="48F56297" w14:textId="77777777" w:rsidR="0089120B" w:rsidRPr="008E64DF" w:rsidRDefault="00000000">
      <w:pPr>
        <w:pStyle w:val="a0"/>
        <w:rPr>
          <w:lang w:val="ru-RU"/>
        </w:rPr>
      </w:pPr>
      <w:r w:rsidRPr="008E64DF">
        <w:rPr>
          <w:lang w:val="ru-RU"/>
        </w:rPr>
        <w:t>Процесс метафоризации, точнее его модель, можно представить комплексным когнитивно-номинативным процессом, подразумевающим наличие ряда компонентов, среди которых – интенции субъекта метафоризации, проблема выбора выражения, отвечающего прагматическим намерениям говорящего или текста. Таким образом, в метафоре наблюдается присутствие замысла – цели (некой мысли о мире) и вспомогательного понятия (мысли о мире, закрепленной в системе языка данного коллектива). Каждый из этих компонентов корректирует 1</w:t>
      </w:r>
    </w:p>
    <w:p w14:paraId="08D4172C" w14:textId="77777777" w:rsidR="0089120B" w:rsidRPr="008E64DF" w:rsidRDefault="00000000">
      <w:pPr>
        <w:pStyle w:val="a0"/>
        <w:rPr>
          <w:lang w:val="ru-RU"/>
        </w:rPr>
      </w:pPr>
      <w:r w:rsidRPr="008E64DF">
        <w:rPr>
          <w:lang w:val="ru-RU"/>
        </w:rPr>
        <w:t>Подробнее о концептуальных и стилистических метафорах см.</w:t>
      </w:r>
      <w:proofErr w:type="gramStart"/>
      <w:r w:rsidRPr="008E64DF">
        <w:rPr>
          <w:lang w:val="ru-RU"/>
        </w:rPr>
        <w:t>.</w:t>
      </w:r>
      <w:proofErr w:type="gramEnd"/>
      <w:r w:rsidRPr="008E64DF">
        <w:rPr>
          <w:lang w:val="ru-RU"/>
        </w:rPr>
        <w:t xml:space="preserve"> и направляет процесс метафоризации, «перенося» одно и то же имя в разные предметные области, определяет успех нахождения подходящего имени. Процесс метафоризации приводит и к «получению нового знания о мире в ходе его </w:t>
      </w:r>
      <w:proofErr w:type="spellStart"/>
      <w:r w:rsidRPr="008E64DF">
        <w:rPr>
          <w:lang w:val="ru-RU"/>
        </w:rPr>
        <w:t>оязыковления</w:t>
      </w:r>
      <w:proofErr w:type="spellEnd"/>
      <w:r w:rsidRPr="008E64DF">
        <w:rPr>
          <w:lang w:val="ru-RU"/>
        </w:rPr>
        <w:t xml:space="preserve"> путем использования уже имеющихся в языке наименований, осуществляется «путь от смысла слова к свойствам того, что обозначается вторично»1. Также представляется возможным рассматривать метафору и как способ создания новых концептов с использованием знаков, принадлежащих данной семиотической системе.</w:t>
      </w:r>
    </w:p>
    <w:p w14:paraId="4B899E11" w14:textId="77777777" w:rsidR="0089120B" w:rsidRPr="008E64DF" w:rsidRDefault="00000000">
      <w:pPr>
        <w:pStyle w:val="a0"/>
        <w:rPr>
          <w:lang w:val="ru-RU"/>
        </w:rPr>
      </w:pPr>
      <w:r w:rsidRPr="008E64DF">
        <w:rPr>
          <w:lang w:val="ru-RU"/>
        </w:rPr>
        <w:t xml:space="preserve">В основе как процесса метафоризации, так и вторичной номинации лежит ассоциативный характер человеческого мышления, который позволяет ему связывать предметы окружающего мира, подмечая сходство их признаков (подчас субъективное). На этом и зиждется главное свойство метафоры – ее </w:t>
      </w:r>
      <w:proofErr w:type="spellStart"/>
      <w:r w:rsidRPr="008E64DF">
        <w:rPr>
          <w:lang w:val="ru-RU"/>
        </w:rPr>
        <w:t>двуплановость</w:t>
      </w:r>
      <w:proofErr w:type="spellEnd"/>
      <w:r w:rsidRPr="008E64DF">
        <w:rPr>
          <w:lang w:val="ru-RU"/>
        </w:rPr>
        <w:t>, взаимодействие признаков главного и вспомогательного субъектов, а также предикация тому, что обозначается, признаков, имплицируемых словом, которое используется для наречения не свойственного ему явления.</w:t>
      </w:r>
    </w:p>
    <w:p w14:paraId="7981DD05" w14:textId="77777777" w:rsidR="0089120B" w:rsidRPr="008E64DF" w:rsidRDefault="00000000">
      <w:pPr>
        <w:pStyle w:val="a0"/>
        <w:rPr>
          <w:lang w:val="ru-RU"/>
        </w:rPr>
      </w:pPr>
      <w:r w:rsidRPr="008E64DF">
        <w:rPr>
          <w:lang w:val="ru-RU"/>
        </w:rPr>
        <w:t>Не вызывает сомнения и тот факт, что метафора стоит в одном ряду с теми из тропов (метонимия, перифраз), с помощью которых в языке представлена косвенная вторичная номинация.</w:t>
      </w:r>
    </w:p>
    <w:p w14:paraId="060909C6" w14:textId="77777777" w:rsidR="0089120B" w:rsidRPr="008E64DF" w:rsidRDefault="00000000">
      <w:pPr>
        <w:pStyle w:val="a0"/>
        <w:rPr>
          <w:lang w:val="ru-RU"/>
        </w:rPr>
      </w:pPr>
      <w:r w:rsidRPr="008E64DF">
        <w:rPr>
          <w:lang w:val="ru-RU"/>
        </w:rPr>
        <w:t xml:space="preserve">Известно, что вторичная номинация так же, как и метафора, может принадлежать как системе языка, так и системе речи. Языковая номинация (словарная) обнаруживает себя в слове в совокупности его лексических значений, характеризующихся наличием ассоциативных связей с другими номинациями в тексте. Результаты такой номинации интегрированы в язык и обладают статусом конвенционально закрепленных значений словесных знаков. При такой вторичной номинации фонетический облик </w:t>
      </w:r>
      <w:proofErr w:type="spellStart"/>
      <w:r w:rsidRPr="008E64DF">
        <w:rPr>
          <w:lang w:val="ru-RU"/>
        </w:rPr>
        <w:t>первоîбразной</w:t>
      </w:r>
      <w:proofErr w:type="spellEnd"/>
      <w:r w:rsidRPr="008E64DF">
        <w:rPr>
          <w:lang w:val="ru-RU"/>
        </w:rPr>
        <w:t xml:space="preserve"> единицы, используемой для нового обозначаемого, рассматривается как способность языка пополнять свой номинативный инвентарь.</w:t>
      </w:r>
    </w:p>
    <w:p w14:paraId="23C89546" w14:textId="77777777" w:rsidR="0089120B" w:rsidRPr="008E64DF" w:rsidRDefault="00000000">
      <w:pPr>
        <w:pStyle w:val="a0"/>
        <w:rPr>
          <w:lang w:val="ru-RU"/>
        </w:rPr>
      </w:pPr>
      <w:r w:rsidRPr="008E64DF">
        <w:rPr>
          <w:lang w:val="ru-RU"/>
        </w:rPr>
        <w:t>Речевая номинация (индивидуальная), выступающая в дискурсе в качестве вторичной номинации, противопоставляется номинации языковой, так как ее результаты – это окказиональные лексические значения. Таким образом, речевая номинация во внешней форме текста формируется и зависит от личностного смысла, вкладываемого автором, при котором интерпретация смысла слова может потребовать выхода за рамки системы языка. Оценка в семантике речевой номинации во 1</w:t>
      </w:r>
    </w:p>
    <w:p w14:paraId="61135593" w14:textId="77777777" w:rsidR="0089120B" w:rsidRPr="008E64DF" w:rsidRDefault="00000000">
      <w:pPr>
        <w:pStyle w:val="a0"/>
        <w:rPr>
          <w:lang w:val="ru-RU"/>
        </w:rPr>
      </w:pPr>
      <w:r w:rsidRPr="008E64DF">
        <w:rPr>
          <w:lang w:val="ru-RU"/>
        </w:rPr>
        <w:lastRenderedPageBreak/>
        <w:t xml:space="preserve">См. подробнее. многом носит личностный характер и является </w:t>
      </w:r>
      <w:proofErr w:type="spellStart"/>
      <w:r w:rsidRPr="008E64DF">
        <w:rPr>
          <w:lang w:val="ru-RU"/>
        </w:rPr>
        <w:t>двуплановой</w:t>
      </w:r>
      <w:proofErr w:type="spellEnd"/>
      <w:r w:rsidRPr="008E64DF">
        <w:rPr>
          <w:lang w:val="ru-RU"/>
        </w:rPr>
        <w:t>: общественно одобренные и конвенционально закрепленные взгляды и нормы поведения оцениваются автором с его точки зрения.</w:t>
      </w:r>
    </w:p>
    <w:p w14:paraId="3DC6DC9E" w14:textId="77777777" w:rsidR="0089120B" w:rsidRPr="008E64DF" w:rsidRDefault="00000000">
      <w:pPr>
        <w:pStyle w:val="a0"/>
        <w:rPr>
          <w:lang w:val="ru-RU"/>
        </w:rPr>
      </w:pPr>
      <w:r w:rsidRPr="008E64DF">
        <w:rPr>
          <w:lang w:val="ru-RU"/>
        </w:rPr>
        <w:t xml:space="preserve">При всем многообразии подходов к явлению вторичной номинации особого внимания заслуживает и сходная по своим прагматическим функциям с ней номинация альтернативная, при которой один и тот же предмет или явление получает несколько вариантов обозначения. Особо следует выделить и тот факт, что языковые единицы такой номинации, образующие предикативный комплекс, подчас занимают промежуточное положение между системами языка и речи, но стремятся интегрироваться в язык, заполняя собой </w:t>
      </w:r>
      <w:proofErr w:type="spellStart"/>
      <w:r w:rsidRPr="008E64DF">
        <w:rPr>
          <w:lang w:val="ru-RU"/>
        </w:rPr>
        <w:t>языковûе</w:t>
      </w:r>
      <w:proofErr w:type="spellEnd"/>
      <w:r w:rsidRPr="008E64DF">
        <w:rPr>
          <w:lang w:val="ru-RU"/>
        </w:rPr>
        <w:t xml:space="preserve"> лакуны.</w:t>
      </w:r>
    </w:p>
    <w:p w14:paraId="110A68AD" w14:textId="77777777" w:rsidR="0089120B" w:rsidRPr="008E64DF" w:rsidRDefault="00000000">
      <w:pPr>
        <w:pStyle w:val="a0"/>
        <w:rPr>
          <w:lang w:val="ru-RU"/>
        </w:rPr>
      </w:pPr>
      <w:r w:rsidRPr="008E64DF">
        <w:rPr>
          <w:lang w:val="ru-RU"/>
        </w:rPr>
        <w:t>На протяжении последних десятилетий в ряде работ механизм вторичной номинации, и в особенности его семантическая сторона, были подвергнуты достаточно подробному описанию. В основе данного явления, как правило, рассматривалось смещение денотативной соотнесенности на основе переноса общего признака с объекта первичной номинации на объект вторичной номинации. Анализу и описанию прагматического компонента данного процесса уделялось более скромное внимание: суть прагматической направленности вторичной номинации виделась, прежде всего, в создании экспрессивно-образного стилистического смысла, на который «наслаивается» смысл эмоционально-оценочный.</w:t>
      </w:r>
    </w:p>
    <w:p w14:paraId="575E6F11" w14:textId="77777777" w:rsidR="0089120B" w:rsidRPr="008E64DF" w:rsidRDefault="00000000">
      <w:pPr>
        <w:pStyle w:val="a0"/>
        <w:rPr>
          <w:lang w:val="ru-RU"/>
        </w:rPr>
      </w:pPr>
      <w:r w:rsidRPr="008E64DF">
        <w:rPr>
          <w:lang w:val="ru-RU"/>
        </w:rPr>
        <w:t>Для иллюстрации явления вторичной номинации приведем следующий пример:</w:t>
      </w:r>
    </w:p>
    <w:p w14:paraId="5CD7BE2F" w14:textId="77777777" w:rsidR="0089120B" w:rsidRPr="008E64DF" w:rsidRDefault="00000000">
      <w:pPr>
        <w:pStyle w:val="a0"/>
        <w:rPr>
          <w:lang w:val="ru-RU"/>
        </w:rPr>
      </w:pPr>
      <w:r>
        <w:t xml:space="preserve">Perhaps it should not be surprising that the Estonians (ahead even of Czechs and Poles) have become the most skeptical about EU membership. The small Baltic state has an open modern economy, which embarrasses Germany and the other Western dinosaurs. </w:t>
      </w:r>
      <w:r w:rsidRPr="008E64DF">
        <w:rPr>
          <w:lang w:val="ru-RU"/>
        </w:rPr>
        <w:t>(</w:t>
      </w:r>
      <w:r>
        <w:t>The</w:t>
      </w:r>
      <w:r w:rsidRPr="008E64DF">
        <w:rPr>
          <w:lang w:val="ru-RU"/>
        </w:rPr>
        <w:t xml:space="preserve"> </w:t>
      </w:r>
      <w:r>
        <w:t>Times</w:t>
      </w:r>
      <w:r w:rsidRPr="008E64DF">
        <w:rPr>
          <w:lang w:val="ru-RU"/>
        </w:rPr>
        <w:t>, 11.11.02)</w:t>
      </w:r>
    </w:p>
    <w:p w14:paraId="5BA7F733" w14:textId="77777777" w:rsidR="0089120B" w:rsidRPr="008E64DF" w:rsidRDefault="00000000">
      <w:pPr>
        <w:pStyle w:val="a0"/>
        <w:rPr>
          <w:lang w:val="ru-RU"/>
        </w:rPr>
      </w:pPr>
      <w:r w:rsidRPr="008E64DF">
        <w:rPr>
          <w:lang w:val="ru-RU"/>
        </w:rPr>
        <w:t>Выделенное нами выражение ‘</w:t>
      </w:r>
      <w:r>
        <w:t>the</w:t>
      </w:r>
      <w:r w:rsidRPr="008E64DF">
        <w:rPr>
          <w:lang w:val="ru-RU"/>
        </w:rPr>
        <w:t xml:space="preserve"> </w:t>
      </w:r>
      <w:r>
        <w:t>other</w:t>
      </w:r>
      <w:r w:rsidRPr="008E64DF">
        <w:rPr>
          <w:lang w:val="ru-RU"/>
        </w:rPr>
        <w:t xml:space="preserve"> </w:t>
      </w:r>
      <w:r>
        <w:t>Western</w:t>
      </w:r>
      <w:r w:rsidRPr="008E64DF">
        <w:rPr>
          <w:lang w:val="ru-RU"/>
        </w:rPr>
        <w:t xml:space="preserve"> </w:t>
      </w:r>
      <w:r>
        <w:t>dinosaurs</w:t>
      </w:r>
      <w:r w:rsidRPr="008E64DF">
        <w:rPr>
          <w:lang w:val="ru-RU"/>
        </w:rPr>
        <w:t xml:space="preserve">’ может быть охарактеризовано, прежде всего, как случай элементной вторичной окказиональной номинации. Элементная номинация, как известно, соотносится с определенным элементом действительности, а номинантом в ней может выступать слово или словосочетание. В семантическом плане мы наблюдаем приглушение </w:t>
      </w:r>
      <w:proofErr w:type="spellStart"/>
      <w:r w:rsidRPr="008E64DF">
        <w:rPr>
          <w:lang w:val="ru-RU"/>
        </w:rPr>
        <w:t>архисемы</w:t>
      </w:r>
      <w:proofErr w:type="spellEnd"/>
      <w:r w:rsidRPr="008E64DF">
        <w:rPr>
          <w:lang w:val="ru-RU"/>
        </w:rPr>
        <w:t xml:space="preserve">, соотносящейся с первичным номинативным значением слова и узуальным денотатом, и одновременным </w:t>
      </w:r>
      <w:proofErr w:type="spellStart"/>
      <w:r w:rsidRPr="008E64DF">
        <w:rPr>
          <w:lang w:val="ru-RU"/>
        </w:rPr>
        <w:t>индуцированием</w:t>
      </w:r>
      <w:proofErr w:type="spellEnd"/>
      <w:r w:rsidRPr="008E64DF">
        <w:rPr>
          <w:lang w:val="ru-RU"/>
        </w:rPr>
        <w:t xml:space="preserve"> окказиональной семы контекстуального референта. Таким образом, возникает семантическая </w:t>
      </w:r>
      <w:proofErr w:type="spellStart"/>
      <w:r w:rsidRPr="008E64DF">
        <w:rPr>
          <w:lang w:val="ru-RU"/>
        </w:rPr>
        <w:t>двуплановость</w:t>
      </w:r>
      <w:proofErr w:type="spellEnd"/>
      <w:r w:rsidRPr="008E64DF">
        <w:rPr>
          <w:lang w:val="ru-RU"/>
        </w:rPr>
        <w:t xml:space="preserve">, где узуальный денотат, прочитываемый как «ведущие европейские державы, составляющие основу Европейского союза» и окказиональный референт – «животные огромных размеров, жившие на Земле миллионы лет назад» сосуществуют в одном контексте и наше сознание воспринимает эти значения одновременно. В ономасиологическом плане и денотат, и окказиональный референт характеризуются наличием общего признака – «величина и солидный возраст», хотя они и относятся к разным классам внеязыковых объектов. В синтагматической плоскости наблюдается грамматическая оппозиция «страны-животные» и переход существительного </w:t>
      </w:r>
      <w:r>
        <w:t>dinosaurs</w:t>
      </w:r>
      <w:r w:rsidRPr="008E64DF">
        <w:rPr>
          <w:lang w:val="ru-RU"/>
        </w:rPr>
        <w:t xml:space="preserve"> из разряда референтного имени в предикатное. Очевидно, что акт вторичной номинации обнаруживает на практике свое сходство с базовым метафорическим актом, когда буквальное значения </w:t>
      </w:r>
      <w:proofErr w:type="spellStart"/>
      <w:r w:rsidRPr="008E64DF">
        <w:rPr>
          <w:lang w:val="ru-RU"/>
        </w:rPr>
        <w:t>слîва</w:t>
      </w:r>
      <w:proofErr w:type="spellEnd"/>
      <w:r w:rsidRPr="008E64DF">
        <w:rPr>
          <w:lang w:val="ru-RU"/>
        </w:rPr>
        <w:t xml:space="preserve"> вызывает в сознании традиционный образ референта, а также возбуждает тот образно-ассоциативный комплекс данной реалии, который присущ данному </w:t>
      </w:r>
      <w:proofErr w:type="spellStart"/>
      <w:r w:rsidRPr="008E64DF">
        <w:rPr>
          <w:lang w:val="ru-RU"/>
        </w:rPr>
        <w:t>национальноязыковому</w:t>
      </w:r>
      <w:proofErr w:type="spellEnd"/>
      <w:r w:rsidRPr="008E64DF">
        <w:rPr>
          <w:lang w:val="ru-RU"/>
        </w:rPr>
        <w:t xml:space="preserve"> коллективу.</w:t>
      </w:r>
    </w:p>
    <w:p w14:paraId="55C34F78" w14:textId="77777777" w:rsidR="0089120B" w:rsidRPr="008E64DF" w:rsidRDefault="00000000">
      <w:pPr>
        <w:pStyle w:val="a0"/>
        <w:rPr>
          <w:lang w:val="ru-RU"/>
        </w:rPr>
      </w:pPr>
      <w:r w:rsidRPr="008E64DF">
        <w:rPr>
          <w:lang w:val="ru-RU"/>
        </w:rPr>
        <w:lastRenderedPageBreak/>
        <w:t>1</w:t>
      </w:r>
    </w:p>
    <w:p w14:paraId="40CC96AB" w14:textId="77777777" w:rsidR="0089120B" w:rsidRPr="008E64DF" w:rsidRDefault="00000000">
      <w:pPr>
        <w:pStyle w:val="a0"/>
        <w:rPr>
          <w:lang w:val="ru-RU"/>
        </w:rPr>
      </w:pPr>
      <w:r w:rsidRPr="008E64DF">
        <w:rPr>
          <w:lang w:val="ru-RU"/>
        </w:rPr>
        <w:t xml:space="preserve">Для сравнения рассмотрим пример, где акт вторичной номинации порождает стилистический прием </w:t>
      </w:r>
      <w:proofErr w:type="spellStart"/>
      <w:r w:rsidRPr="008E64DF">
        <w:rPr>
          <w:lang w:val="ru-RU"/>
        </w:rPr>
        <w:t>антономасию</w:t>
      </w:r>
      <w:proofErr w:type="spellEnd"/>
      <w:r w:rsidRPr="008E64DF">
        <w:rPr>
          <w:lang w:val="ru-RU"/>
        </w:rPr>
        <w:t xml:space="preserve">: </w:t>
      </w:r>
      <w:r>
        <w:t>Michael</w:t>
      </w:r>
      <w:r w:rsidRPr="008E64DF">
        <w:rPr>
          <w:lang w:val="ru-RU"/>
        </w:rPr>
        <w:t xml:space="preserve"> </w:t>
      </w:r>
      <w:r>
        <w:t>Howard</w:t>
      </w:r>
      <w:r w:rsidRPr="008E64DF">
        <w:rPr>
          <w:lang w:val="ru-RU"/>
        </w:rPr>
        <w:t xml:space="preserve">, </w:t>
      </w:r>
      <w:r>
        <w:t>the</w:t>
      </w:r>
      <w:r w:rsidRPr="008E64DF">
        <w:rPr>
          <w:lang w:val="ru-RU"/>
        </w:rPr>
        <w:t xml:space="preserve"> </w:t>
      </w:r>
      <w:r>
        <w:t>Shadow</w:t>
      </w:r>
      <w:r w:rsidRPr="008E64DF">
        <w:rPr>
          <w:lang w:val="ru-RU"/>
        </w:rPr>
        <w:t xml:space="preserve"> </w:t>
      </w:r>
      <w:r>
        <w:t>Chancellor</w:t>
      </w:r>
      <w:r w:rsidRPr="008E64DF">
        <w:rPr>
          <w:lang w:val="ru-RU"/>
        </w:rPr>
        <w:t xml:space="preserve">, </w:t>
      </w:r>
      <w:r>
        <w:t>was</w:t>
      </w:r>
      <w:r w:rsidRPr="008E64DF">
        <w:rPr>
          <w:lang w:val="ru-RU"/>
        </w:rPr>
        <w:t xml:space="preserve"> </w:t>
      </w:r>
      <w:r>
        <w:t>at</w:t>
      </w:r>
      <w:r w:rsidRPr="008E64DF">
        <w:rPr>
          <w:lang w:val="ru-RU"/>
        </w:rPr>
        <w:t xml:space="preserve"> </w:t>
      </w:r>
      <w:r>
        <w:t>his</w:t>
      </w:r>
      <w:r w:rsidRPr="008E64DF">
        <w:rPr>
          <w:lang w:val="ru-RU"/>
        </w:rPr>
        <w:t xml:space="preserve"> </w:t>
      </w:r>
      <w:r>
        <w:t>most</w:t>
      </w:r>
      <w:r w:rsidRPr="008E64DF">
        <w:rPr>
          <w:lang w:val="ru-RU"/>
        </w:rPr>
        <w:t xml:space="preserve"> </w:t>
      </w:r>
      <w:r>
        <w:t>viperish</w:t>
      </w:r>
      <w:r w:rsidRPr="008E64DF">
        <w:rPr>
          <w:lang w:val="ru-RU"/>
        </w:rPr>
        <w:t xml:space="preserve">, </w:t>
      </w:r>
      <w:r>
        <w:t>a</w:t>
      </w:r>
      <w:r w:rsidRPr="008E64DF">
        <w:rPr>
          <w:lang w:val="ru-RU"/>
        </w:rPr>
        <w:t xml:space="preserve"> </w:t>
      </w:r>
      <w:r>
        <w:t>toxic</w:t>
      </w:r>
      <w:r w:rsidRPr="008E64DF">
        <w:rPr>
          <w:lang w:val="ru-RU"/>
        </w:rPr>
        <w:t xml:space="preserve"> </w:t>
      </w:r>
      <w:r>
        <w:t>Tigger</w:t>
      </w:r>
      <w:r w:rsidRPr="008E64DF">
        <w:rPr>
          <w:lang w:val="ru-RU"/>
        </w:rPr>
        <w:t xml:space="preserve"> </w:t>
      </w:r>
      <w:r>
        <w:t>to</w:t>
      </w:r>
      <w:r w:rsidRPr="008E64DF">
        <w:rPr>
          <w:lang w:val="ru-RU"/>
        </w:rPr>
        <w:t xml:space="preserve"> </w:t>
      </w:r>
      <w:r>
        <w:t>Brown</w:t>
      </w:r>
      <w:r w:rsidRPr="008E64DF">
        <w:rPr>
          <w:lang w:val="ru-RU"/>
        </w:rPr>
        <w:t>’</w:t>
      </w:r>
      <w:r>
        <w:t>s</w:t>
      </w:r>
      <w:r w:rsidRPr="008E64DF">
        <w:rPr>
          <w:lang w:val="ru-RU"/>
        </w:rPr>
        <w:t xml:space="preserve"> </w:t>
      </w:r>
      <w:r>
        <w:t>Eeyore</w:t>
      </w:r>
      <w:r w:rsidRPr="008E64DF">
        <w:rPr>
          <w:lang w:val="ru-RU"/>
        </w:rPr>
        <w:t>. (</w:t>
      </w:r>
      <w:r>
        <w:t>The</w:t>
      </w:r>
      <w:r w:rsidRPr="008E64DF">
        <w:rPr>
          <w:lang w:val="ru-RU"/>
        </w:rPr>
        <w:t xml:space="preserve"> </w:t>
      </w:r>
      <w:r>
        <w:t>Times</w:t>
      </w:r>
      <w:r w:rsidRPr="008E64DF">
        <w:rPr>
          <w:lang w:val="ru-RU"/>
        </w:rPr>
        <w:t>, 28.11.02)</w:t>
      </w:r>
    </w:p>
    <w:p w14:paraId="03BD036E" w14:textId="77777777" w:rsidR="0089120B" w:rsidRPr="008E64DF" w:rsidRDefault="00000000">
      <w:pPr>
        <w:pStyle w:val="a0"/>
        <w:rPr>
          <w:lang w:val="ru-RU"/>
        </w:rPr>
      </w:pPr>
      <w:r w:rsidRPr="008E64DF">
        <w:rPr>
          <w:lang w:val="ru-RU"/>
        </w:rPr>
        <w:t xml:space="preserve">В данном примере при сходстве происходящих семантических сдвигов, уже упомянутых нами, большую роль играют постоянные ассоциации экстралингвистического толка, актуализация которых является базой для окказионального изменения объекта номинации. В данном случае имена героев хорошо известной всем сказки А. Милна приобретают </w:t>
      </w:r>
      <w:proofErr w:type="spellStart"/>
      <w:r w:rsidRPr="008E64DF">
        <w:rPr>
          <w:lang w:val="ru-RU"/>
        </w:rPr>
        <w:t>квалификативно</w:t>
      </w:r>
      <w:proofErr w:type="spellEnd"/>
      <w:r w:rsidRPr="008E64DF">
        <w:rPr>
          <w:lang w:val="ru-RU"/>
        </w:rPr>
        <w:t xml:space="preserve">-характеристическую функцию. Общим признаком, семой, участвующей в процессе номинации и создающей определенную образную экспрессию, являются поведенческие и личностные характеристики сказочных персонажей – непоседливость, взбалмошность, предприимчивость Тигры и медлительность, чрезмерная задумчивость, нерешительность осла </w:t>
      </w:r>
      <w:proofErr w:type="spellStart"/>
      <w:r w:rsidRPr="008E64DF">
        <w:rPr>
          <w:lang w:val="ru-RU"/>
        </w:rPr>
        <w:t>Иа</w:t>
      </w:r>
      <w:proofErr w:type="spellEnd"/>
      <w:r w:rsidRPr="008E64DF">
        <w:rPr>
          <w:lang w:val="ru-RU"/>
        </w:rPr>
        <w:t xml:space="preserve">. По-видимому, именно данные характеристики отвечали прагматическим интенциям журналиста, подметившего сходство в поведении сказочных героев и реально существующих политических лидеров. Имена собственные, обычно характеризующиеся отсутствием у них социально-закрепленной информации, в процессе вторичного именования приобретают дополнительное семантико-стилистическое содержание. Интересно также отметить в данной связи, что актуализируемые признаки выступают здесь в качестве основы, на которой может формироваться как положительный, так и отрицательный оценочный смысл. Так, читатели могут воспринимать указанных героев </w:t>
      </w:r>
      <w:proofErr w:type="gramStart"/>
      <w:r w:rsidRPr="008E64DF">
        <w:rPr>
          <w:lang w:val="ru-RU"/>
        </w:rPr>
        <w:t>по разному</w:t>
      </w:r>
      <w:proofErr w:type="gramEnd"/>
      <w:r w:rsidRPr="008E64DF">
        <w:rPr>
          <w:lang w:val="ru-RU"/>
        </w:rPr>
        <w:t>, субъективно, как со знаком «плюс», так и со знаком «минус», по-своему интерпретируя авторскую интенцию.</w:t>
      </w:r>
    </w:p>
    <w:p w14:paraId="05393642" w14:textId="77777777" w:rsidR="0089120B" w:rsidRPr="008E64DF" w:rsidRDefault="00000000">
      <w:pPr>
        <w:pStyle w:val="a0"/>
        <w:rPr>
          <w:lang w:val="ru-RU"/>
        </w:rPr>
      </w:pPr>
      <w:r w:rsidRPr="008E64DF">
        <w:rPr>
          <w:lang w:val="ru-RU"/>
        </w:rPr>
        <w:t>Следует также особо отметить, что выбор признака в процессе окказионального вторичного наименования, как известно, носит лишь отчасти случайный характер. Критерием отбора признака обычно выступает то, насколько он является необычным, оригинальным и броским. Использование прямого наименования в данном случае окажется, прежде всего, банальным, менее эмоциональным и, как следствие, малоэффективным по силе своего воздействия на читателя, в то время как неожиданное употребление слова, неожиданная актуализация признаков этого слова, помимо создания определенного стилистического эффекта, обогащает содержание обозначаемого и, проще говоря, интригует читателя. Для иллюстрации данного положения представляется возможным привести пример, где с помощью многочленной метафоры автору удается создать достаточно оригинальный образ сегодняшней британской прессы:</w:t>
      </w:r>
    </w:p>
    <w:p w14:paraId="7EE3244A" w14:textId="77777777" w:rsidR="0089120B" w:rsidRDefault="00000000">
      <w:pPr>
        <w:pStyle w:val="a0"/>
      </w:pPr>
      <w:r>
        <w:t>Her husband had turned the press into his icon of democracy, thinking he could tame it. Thank goodness, the press cannot be tamed. It is a tiger. It has just eaten the prime minister’s wife. (The Times, 11.12.02)</w:t>
      </w:r>
    </w:p>
    <w:p w14:paraId="6AF4326D" w14:textId="77777777" w:rsidR="0089120B" w:rsidRPr="008E64DF" w:rsidRDefault="00000000">
      <w:pPr>
        <w:pStyle w:val="a0"/>
        <w:rPr>
          <w:lang w:val="ru-RU"/>
        </w:rPr>
      </w:pPr>
      <w:r w:rsidRPr="008E64DF">
        <w:rPr>
          <w:lang w:val="ru-RU"/>
        </w:rPr>
        <w:t>Следует отметить и тот факт, что в процессе метафоризации, как уже отмечалось, происходит не только наложение двух планов – классифицирующего и коннотативного, но возможна и «радиация» метафоры, т. е. распространение метафорического переосмысления в соседние обозначаемые.</w:t>
      </w:r>
    </w:p>
    <w:p w14:paraId="353F7011" w14:textId="77777777" w:rsidR="0089120B" w:rsidRPr="008E64DF" w:rsidRDefault="00000000">
      <w:pPr>
        <w:pStyle w:val="a0"/>
        <w:rPr>
          <w:lang w:val="ru-RU"/>
        </w:rPr>
      </w:pPr>
      <w:r w:rsidRPr="008E64DF">
        <w:rPr>
          <w:lang w:val="ru-RU"/>
        </w:rPr>
        <w:t>Известно, что помимо элементной номинации традиционно выделяют и номинацию событийную (</w:t>
      </w:r>
      <w:proofErr w:type="spellStart"/>
      <w:r w:rsidRPr="008E64DF">
        <w:rPr>
          <w:lang w:val="ru-RU"/>
        </w:rPr>
        <w:t>пропозитивную</w:t>
      </w:r>
      <w:proofErr w:type="spellEnd"/>
      <w:r w:rsidRPr="008E64DF">
        <w:rPr>
          <w:lang w:val="ru-RU"/>
        </w:rPr>
        <w:t xml:space="preserve">). Обычно она имеет форму предложения, а в роли </w:t>
      </w:r>
      <w:r w:rsidRPr="008E64DF">
        <w:rPr>
          <w:lang w:val="ru-RU"/>
        </w:rPr>
        <w:lastRenderedPageBreak/>
        <w:t xml:space="preserve">номинанта выступает какая-либо </w:t>
      </w:r>
      <w:proofErr w:type="spellStart"/>
      <w:r w:rsidRPr="008E64DF">
        <w:rPr>
          <w:lang w:val="ru-RU"/>
        </w:rPr>
        <w:t>микроситуация</w:t>
      </w:r>
      <w:proofErr w:type="spellEnd"/>
      <w:r w:rsidRPr="008E64DF">
        <w:rPr>
          <w:lang w:val="ru-RU"/>
        </w:rPr>
        <w:t xml:space="preserve">, представляющая собой ряд взаимосвязанных элементов. В семантическом плане при описании данного типа номинации принято выделять не только отношения «денотат-референт», но и учитывать модальность высказывания, социальный аспект (условия общения), а также информативный компонент (актуальное членение), отражающий осведомленность адресата о событии, и, наконец, личностные интенции говорящего, находящие реализацию в рамках особого </w:t>
      </w:r>
      <w:proofErr w:type="spellStart"/>
      <w:r w:rsidRPr="008E64DF">
        <w:rPr>
          <w:lang w:val="ru-RU"/>
        </w:rPr>
        <w:t>пропозиционного</w:t>
      </w:r>
      <w:proofErr w:type="spellEnd"/>
      <w:r w:rsidRPr="008E64DF">
        <w:rPr>
          <w:lang w:val="ru-RU"/>
        </w:rPr>
        <w:t xml:space="preserve"> контекста. Следует отметить, что обращение к </w:t>
      </w:r>
      <w:proofErr w:type="spellStart"/>
      <w:r w:rsidRPr="008E64DF">
        <w:rPr>
          <w:lang w:val="ru-RU"/>
        </w:rPr>
        <w:t>пропозитивной</w:t>
      </w:r>
      <w:proofErr w:type="spellEnd"/>
      <w:r w:rsidRPr="008E64DF">
        <w:rPr>
          <w:lang w:val="ru-RU"/>
        </w:rPr>
        <w:t xml:space="preserve"> номинации не может не оказаться плодотворным при анализе предложения и текста.</w:t>
      </w:r>
    </w:p>
    <w:p w14:paraId="78051FA0" w14:textId="77777777" w:rsidR="0089120B" w:rsidRPr="008E64DF" w:rsidRDefault="00000000">
      <w:pPr>
        <w:pStyle w:val="a0"/>
        <w:rPr>
          <w:lang w:val="ru-RU"/>
        </w:rPr>
      </w:pPr>
      <w:r w:rsidRPr="008E64DF">
        <w:rPr>
          <w:lang w:val="ru-RU"/>
        </w:rPr>
        <w:t>В первом примере в основе процесса вторичной номинации лежит развернутая метафора. Как известно, основополагающим моментом данного вида тропа является присутствие образа-основы или ключевого концепта, обусловливающего появление дополнительной информации, которая может быть декодирована по отношению к основному понятию. Результатом актуализации данного явления в тексте является возникновение двойного потока информации, а также возбуждение ассоциативных представлений между двумя параллельно идущими рядами явлений. Так, в первом примере факт награждения призом Тернера (престижной наградой, присуждаемой в области изобразительного искусства) является чем-то сходным с попыткой удержать в руках или обуздать дикое животное, так и норовящее ускользнуть. Оба явления внеязыковой действительности, никоим образом не связанные друг с другом, обнаруживают в контексте взаимодействие семантических характеристик. Метафора помогает увидеть общность их признаков и аналогичность форм связи этих явлений. Основной образ данной метафоры, «приз – коварное существо», получает свое развитие через следующие, соприкасающиеся с ним образы, усиливающие его: “…</w:t>
      </w:r>
      <w:r>
        <w:t>it</w:t>
      </w:r>
      <w:r w:rsidRPr="008E64DF">
        <w:rPr>
          <w:lang w:val="ru-RU"/>
        </w:rPr>
        <w:t xml:space="preserve"> </w:t>
      </w:r>
      <w:r>
        <w:t>twists</w:t>
      </w:r>
      <w:r w:rsidRPr="008E64DF">
        <w:rPr>
          <w:lang w:val="ru-RU"/>
        </w:rPr>
        <w:t xml:space="preserve"> </w:t>
      </w:r>
      <w:r>
        <w:t>and</w:t>
      </w:r>
      <w:r w:rsidRPr="008E64DF">
        <w:rPr>
          <w:lang w:val="ru-RU"/>
        </w:rPr>
        <w:t xml:space="preserve"> </w:t>
      </w:r>
      <w:r>
        <w:t>wriggles</w:t>
      </w:r>
      <w:r w:rsidRPr="008E64DF">
        <w:rPr>
          <w:lang w:val="ru-RU"/>
        </w:rPr>
        <w:t xml:space="preserve"> </w:t>
      </w:r>
      <w:r>
        <w:t>in</w:t>
      </w:r>
      <w:r w:rsidRPr="008E64DF">
        <w:rPr>
          <w:lang w:val="ru-RU"/>
        </w:rPr>
        <w:t xml:space="preserve"> </w:t>
      </w:r>
      <w:r>
        <w:t>the</w:t>
      </w:r>
      <w:r w:rsidRPr="008E64DF">
        <w:rPr>
          <w:lang w:val="ru-RU"/>
        </w:rPr>
        <w:t xml:space="preserve"> </w:t>
      </w:r>
      <w:r>
        <w:t>grasp</w:t>
      </w:r>
      <w:r w:rsidRPr="008E64DF">
        <w:rPr>
          <w:lang w:val="ru-RU"/>
        </w:rPr>
        <w:t>…”. Прочтение подобной метафоры может быть, по всей видимости, представлено следующим образом: «нелегко получить приз Тернера. На пути у его счастливого обладателя могут возникать всевозможные препятствия или интриги. Не всякий, получивший этот приз кажется достойным его, не всякому в дальнейшем удается и соответствовать высокому уровню и требованиям, налагаемым этим призом». Ко всему прочему у читателя может возникнуть неоднозначное восприятие и, как следствие, отношение к обсуждаемому предмету. Так, И.Р. Гальперин особо отмечал, что успешное декодирование всей информации, заложенной в высказывании, содержащем развернутую метафору, возможно лишь при раскрытии взаимообусловленности семантических процессов двух параллельных систем образности. Актуализируемые дифференциальные семы – «тернистый путь к славе» и «проблема обладания славой» референта и наслаиваемая на нее индуцируемая окказиональная сема «борьба» помогают нам выявить некие дополнительные признаки данного явления, которые при иных обстоятельствах могли бы быть не замечены реципиентом, находясь в «латентном состоянии»1. В составе данной метафоры мы обнаруживаем нерасчлененное представление – “</w:t>
      </w:r>
      <w:r>
        <w:t>Turner</w:t>
      </w:r>
      <w:r w:rsidRPr="008E64DF">
        <w:rPr>
          <w:lang w:val="ru-RU"/>
        </w:rPr>
        <w:t xml:space="preserve"> </w:t>
      </w:r>
      <w:r>
        <w:t>prize</w:t>
      </w:r>
      <w:r w:rsidRPr="008E64DF">
        <w:rPr>
          <w:lang w:val="ru-RU"/>
        </w:rPr>
        <w:t xml:space="preserve"> </w:t>
      </w:r>
      <w:r>
        <w:t>is</w:t>
      </w:r>
      <w:r w:rsidRPr="008E64DF">
        <w:rPr>
          <w:lang w:val="ru-RU"/>
        </w:rPr>
        <w:t xml:space="preserve"> </w:t>
      </w:r>
      <w:r>
        <w:t>a</w:t>
      </w:r>
      <w:r w:rsidRPr="008E64DF">
        <w:rPr>
          <w:lang w:val="ru-RU"/>
        </w:rPr>
        <w:t xml:space="preserve"> </w:t>
      </w:r>
      <w:r>
        <w:t>protean</w:t>
      </w:r>
      <w:r w:rsidRPr="008E64DF">
        <w:rPr>
          <w:lang w:val="ru-RU"/>
        </w:rPr>
        <w:t xml:space="preserve"> </w:t>
      </w:r>
      <w:r>
        <w:t>creature</w:t>
      </w:r>
      <w:r w:rsidRPr="008E64DF">
        <w:rPr>
          <w:lang w:val="ru-RU"/>
        </w:rPr>
        <w:t xml:space="preserve">”, совмещающее в себе признаки разных предметов действительности. Параллельное развертывание двух семантических планов реализуется в рамках одного контекста. Дальнейшее развертывание метафоры способствует большему насыщению эмоционально-оценочного смысла, созданию особого фона, выдвигаемого метафорой на первый план и несколько затеняющего основное содержание высказывания. Развернутая метафора выступает в данном примере неким сигналом языкового кода, </w:t>
      </w:r>
      <w:r w:rsidRPr="008E64DF">
        <w:rPr>
          <w:lang w:val="ru-RU"/>
        </w:rPr>
        <w:lastRenderedPageBreak/>
        <w:t>передающим надлежащую информацию, доступную всем реципиентам, владеющим этим кодом.</w:t>
      </w:r>
    </w:p>
    <w:p w14:paraId="5D8AB621" w14:textId="5B00DAB7" w:rsidR="0089120B" w:rsidRPr="008E64DF" w:rsidRDefault="00000000" w:rsidP="008E64DF">
      <w:pPr>
        <w:pStyle w:val="a0"/>
        <w:rPr>
          <w:lang w:val="ru-RU"/>
        </w:rPr>
      </w:pPr>
      <w:r w:rsidRPr="008E64DF">
        <w:rPr>
          <w:lang w:val="ru-RU"/>
        </w:rPr>
        <w:t xml:space="preserve">Второй пример хорошо, на наш взгляд, иллюстрирует явление, так называемых, цепных номинаций, где первая метафора </w:t>
      </w:r>
      <w:r>
        <w:t>to</w:t>
      </w:r>
      <w:r w:rsidRPr="008E64DF">
        <w:rPr>
          <w:lang w:val="ru-RU"/>
        </w:rPr>
        <w:t xml:space="preserve"> </w:t>
      </w:r>
      <w:r>
        <w:t>wrap</w:t>
      </w:r>
      <w:r w:rsidRPr="008E64DF">
        <w:rPr>
          <w:lang w:val="ru-RU"/>
        </w:rPr>
        <w:t xml:space="preserve"> </w:t>
      </w:r>
      <w:r>
        <w:t>her</w:t>
      </w:r>
      <w:r w:rsidRPr="008E64DF">
        <w:rPr>
          <w:lang w:val="ru-RU"/>
        </w:rPr>
        <w:t xml:space="preserve"> </w:t>
      </w:r>
      <w:r>
        <w:t>in</w:t>
      </w:r>
      <w:r w:rsidRPr="008E64DF">
        <w:rPr>
          <w:lang w:val="ru-RU"/>
        </w:rPr>
        <w:t xml:space="preserve"> </w:t>
      </w:r>
      <w:r>
        <w:t>cotton</w:t>
      </w:r>
      <w:r w:rsidRPr="008E64DF">
        <w:rPr>
          <w:lang w:val="ru-RU"/>
        </w:rPr>
        <w:t xml:space="preserve"> </w:t>
      </w:r>
      <w:r>
        <w:t>wool</w:t>
      </w:r>
      <w:r w:rsidRPr="008E64DF">
        <w:rPr>
          <w:lang w:val="ru-RU"/>
        </w:rPr>
        <w:t>, воспринимаемая нами как «попытка уберечь от всеобщего внимания, общественности, не допускать публичных выступлений» находит неожиданное разрешение в следующей за ней метафоре “</w:t>
      </w:r>
      <w:r>
        <w:t>she</w:t>
      </w:r>
      <w:r w:rsidRPr="008E64DF">
        <w:rPr>
          <w:lang w:val="ru-RU"/>
        </w:rPr>
        <w:t xml:space="preserve"> </w:t>
      </w:r>
      <w:r>
        <w:t>took</w:t>
      </w:r>
      <w:r w:rsidRPr="008E64DF">
        <w:rPr>
          <w:lang w:val="ru-RU"/>
        </w:rPr>
        <w:t xml:space="preserve"> </w:t>
      </w:r>
      <w:r>
        <w:t>off</w:t>
      </w:r>
      <w:r w:rsidRPr="008E64DF">
        <w:rPr>
          <w:lang w:val="ru-RU"/>
        </w:rPr>
        <w:t xml:space="preserve"> </w:t>
      </w:r>
      <w:r>
        <w:t>the</w:t>
      </w:r>
      <w:r w:rsidRPr="008E64DF">
        <w:rPr>
          <w:lang w:val="ru-RU"/>
        </w:rPr>
        <w:t xml:space="preserve"> </w:t>
      </w:r>
      <w:r>
        <w:t>mask</w:t>
      </w:r>
      <w:r w:rsidRPr="008E64DF">
        <w:rPr>
          <w:lang w:val="ru-RU"/>
        </w:rPr>
        <w:t xml:space="preserve"> </w:t>
      </w:r>
      <w:r>
        <w:t>and</w:t>
      </w:r>
      <w:r w:rsidRPr="008E64DF">
        <w:rPr>
          <w:lang w:val="ru-RU"/>
        </w:rPr>
        <w:t xml:space="preserve"> </w:t>
      </w:r>
      <w:r>
        <w:t>the</w:t>
      </w:r>
      <w:r w:rsidRPr="008E64DF">
        <w:rPr>
          <w:lang w:val="ru-RU"/>
        </w:rPr>
        <w:t xml:space="preserve"> </w:t>
      </w:r>
      <w:r>
        <w:t>gag</w:t>
      </w:r>
      <w:r w:rsidRPr="008E64DF">
        <w:rPr>
          <w:lang w:val="ru-RU"/>
        </w:rPr>
        <w:t xml:space="preserve">… </w:t>
      </w:r>
      <w:r>
        <w:t>placed</w:t>
      </w:r>
      <w:r w:rsidRPr="008E64DF">
        <w:rPr>
          <w:lang w:val="ru-RU"/>
        </w:rPr>
        <w:t xml:space="preserve"> </w:t>
      </w:r>
      <w:r>
        <w:t>on</w:t>
      </w:r>
      <w:r w:rsidRPr="008E64DF">
        <w:rPr>
          <w:lang w:val="ru-RU"/>
        </w:rPr>
        <w:t xml:space="preserve"> </w:t>
      </w:r>
      <w:r>
        <w:t>her</w:t>
      </w:r>
      <w:r w:rsidRPr="008E64DF">
        <w:rPr>
          <w:lang w:val="ru-RU"/>
        </w:rPr>
        <w:t>”. И если первый комплекс языковых единиц может быть расценен как оригинальный метафорический перифраз, целью которого может служить желание избежать чересчур прямолинейного указания на описываемые факты действительности, то вторая метафора сообщает данному явлению негативную оценку, т. е. собственное восприятие. Оценка в данном случае также носит ярко выраженный индивидуальный характер, являясь двойной. Журналист усматривает в попытке уберечь покой жены британского премьер-министра элемент насилия (“</w:t>
      </w:r>
      <w:r>
        <w:t>the</w:t>
      </w:r>
      <w:r w:rsidRPr="008E64DF">
        <w:rPr>
          <w:lang w:val="ru-RU"/>
        </w:rPr>
        <w:t xml:space="preserve"> </w:t>
      </w:r>
      <w:r>
        <w:t>mask</w:t>
      </w:r>
      <w:r w:rsidRPr="008E64DF">
        <w:rPr>
          <w:lang w:val="ru-RU"/>
        </w:rPr>
        <w:t xml:space="preserve">… </w:t>
      </w:r>
      <w:r>
        <w:t>and</w:t>
      </w:r>
      <w:r w:rsidRPr="008E64DF">
        <w:rPr>
          <w:lang w:val="ru-RU"/>
        </w:rPr>
        <w:t xml:space="preserve"> </w:t>
      </w:r>
      <w:r>
        <w:t>the</w:t>
      </w:r>
      <w:r w:rsidRPr="008E64DF">
        <w:rPr>
          <w:lang w:val="ru-RU"/>
        </w:rPr>
        <w:t xml:space="preserve"> </w:t>
      </w:r>
      <w:r>
        <w:t>gag</w:t>
      </w:r>
      <w:r w:rsidRPr="008E64DF">
        <w:rPr>
          <w:lang w:val="ru-RU"/>
        </w:rPr>
        <w:t xml:space="preserve">”). Подобная «авторская» трактовка явления лишний раз является подтверждением того, что признаки, лежащие в основе вторичной окказиональной номинации, могут быть как объективно присущи предмету обозначения, так и быть приписаны ему индивидуальным восприятием именующего субъекта, считающего их коммуникативно-релевантными для данной ситуации. </w:t>
      </w:r>
    </w:p>
    <w:p w14:paraId="2D79EE2D" w14:textId="77777777" w:rsidR="0089120B" w:rsidRPr="008E64DF" w:rsidRDefault="00000000">
      <w:pPr>
        <w:pStyle w:val="a0"/>
        <w:rPr>
          <w:lang w:val="ru-RU"/>
        </w:rPr>
      </w:pPr>
      <w:r w:rsidRPr="008E64DF">
        <w:rPr>
          <w:lang w:val="ru-RU"/>
        </w:rPr>
        <w:t xml:space="preserve">В данном примере, по всей видимости, целью автора была актуализация тех признаков («показная роскошь, закулисные интриги и сплетни»), которые, по его мнению, ярче всего передают содержание обозначенного в данном контексте референта – церемонию награждения премией Американской Киноакадемии, что и было достигнуто с помощью повторной его номинации в тексте. Так, при выделении признака, который послужил основой наименования данной внеязыковой реалии, большую роль сыграла установка именующего субъекта-журналиста, его субъективное отношение к данному объекту (скорее всего, ироническое). Именующий субъект стремится подобрать наиболее убедительный в его глазах мотив для совмещения </w:t>
      </w:r>
      <w:proofErr w:type="spellStart"/>
      <w:r w:rsidRPr="008E64DF">
        <w:rPr>
          <w:lang w:val="ru-RU"/>
        </w:rPr>
        <w:t>сигнификата</w:t>
      </w:r>
      <w:proofErr w:type="spellEnd"/>
      <w:r w:rsidRPr="008E64DF">
        <w:rPr>
          <w:lang w:val="ru-RU"/>
        </w:rPr>
        <w:t xml:space="preserve"> переосмысляемой языковой формы как с объективной действительностью, так и со смысловым содержанием опорного наименования. Заслуживает внимания и тот факт, что использование автором оригинальных номинаций </w:t>
      </w:r>
      <w:proofErr w:type="spellStart"/>
      <w:r>
        <w:t>schmoozfest</w:t>
      </w:r>
      <w:proofErr w:type="spellEnd"/>
      <w:r w:rsidRPr="008E64DF">
        <w:rPr>
          <w:lang w:val="ru-RU"/>
        </w:rPr>
        <w:t xml:space="preserve"> и </w:t>
      </w:r>
      <w:proofErr w:type="spellStart"/>
      <w:r>
        <w:t>glitzfest</w:t>
      </w:r>
      <w:proofErr w:type="spellEnd"/>
      <w:r w:rsidRPr="008E64DF">
        <w:rPr>
          <w:lang w:val="ru-RU"/>
        </w:rPr>
        <w:t>, явно «заимствованных» им из немецкого языка, не только привлекает внимание англоязычного читателя, но и может вызвать определенные ассоциации с некоторыми экстралингвистическими явлениями 1. Использование в данной ситуации прямых номинаций с большой долей вероятности не произвело бы подобного эффекта.</w:t>
      </w:r>
    </w:p>
    <w:p w14:paraId="39B2F430" w14:textId="77777777" w:rsidR="0089120B" w:rsidRPr="008E64DF" w:rsidRDefault="00000000">
      <w:pPr>
        <w:pStyle w:val="a0"/>
        <w:rPr>
          <w:lang w:val="ru-RU"/>
        </w:rPr>
      </w:pPr>
      <w:r w:rsidRPr="008E64DF">
        <w:rPr>
          <w:lang w:val="ru-RU"/>
        </w:rPr>
        <w:t>Заслуживает особого внимания и тот факт, что, обладая способностью возбуждать ассоциативные представления между двумя явлениями действительности, а в случае с развернутой метафорой – двумя параллельно существующими рядами явлений, метафора, подчас, избирает для акта номинации лексические единицы, связанные устойчивыми ассоциативными связями с внеязыковыми понятиями, порождая тем самым стилистически значимые эквиваленты выражений.</w:t>
      </w:r>
    </w:p>
    <w:p w14:paraId="52E14C2D" w14:textId="478ADBFC" w:rsidR="0089120B" w:rsidRPr="008E64DF" w:rsidRDefault="00000000">
      <w:pPr>
        <w:pStyle w:val="a0"/>
        <w:rPr>
          <w:lang w:val="ru-RU"/>
        </w:rPr>
      </w:pPr>
      <w:r w:rsidRPr="008E64DF">
        <w:rPr>
          <w:lang w:val="ru-RU"/>
        </w:rPr>
        <w:t>В последние годы интерес к проблеме вторичной номинации обусловил тот факт, что ее анализ в рамках слова престал удовлетворять нуждам научной мысли, границы исследований были значительно расширены в сторону анализа функционирования данного явления не только на уровне предложения, но и на более высоком уровне – уровне текста. Одной из целей данной статьи также является попытка</w:t>
      </w:r>
      <w:r w:rsidR="008E64DF" w:rsidRPr="008E64DF">
        <w:rPr>
          <w:lang w:val="ru-RU"/>
        </w:rPr>
        <w:t xml:space="preserve"> </w:t>
      </w:r>
      <w:r w:rsidRPr="008E64DF">
        <w:rPr>
          <w:lang w:val="ru-RU"/>
        </w:rPr>
        <w:t xml:space="preserve">проследить, </w:t>
      </w:r>
      <w:r w:rsidRPr="008E64DF">
        <w:rPr>
          <w:lang w:val="ru-RU"/>
        </w:rPr>
        <w:lastRenderedPageBreak/>
        <w:t>пусть даже в самых общих чертах, то, как явление вторичной номинации, заключенное в стилистическом приеме метафоры, функционирует и реализует свой потенциал в публицистическом тексте. Функционирование метафоры в языке печатных средств массовой информации традиционно представлялось «благодатным полем» для исследований благодаря способностям метафоры определять положительную или отрицательную оценочную направленность сообщений, способствовать повышению информативности и содержательной насыщенности изложения.</w:t>
      </w:r>
    </w:p>
    <w:p w14:paraId="283446D8" w14:textId="77777777" w:rsidR="0089120B" w:rsidRPr="008E64DF" w:rsidRDefault="00000000">
      <w:pPr>
        <w:pStyle w:val="a0"/>
        <w:rPr>
          <w:lang w:val="ru-RU"/>
        </w:rPr>
      </w:pPr>
      <w:r w:rsidRPr="008E64DF">
        <w:rPr>
          <w:lang w:val="ru-RU"/>
        </w:rPr>
        <w:t xml:space="preserve">Иллюстрационным материалом в данном случае послужила </w:t>
      </w:r>
      <w:proofErr w:type="spellStart"/>
      <w:r w:rsidRPr="008E64DF">
        <w:rPr>
          <w:lang w:val="ru-RU"/>
        </w:rPr>
        <w:t>статьякомментарий</w:t>
      </w:r>
      <w:proofErr w:type="spellEnd"/>
      <w:r w:rsidRPr="008E64DF">
        <w:rPr>
          <w:lang w:val="ru-RU"/>
        </w:rPr>
        <w:t xml:space="preserve">, опубликованная </w:t>
      </w:r>
      <w:r>
        <w:t>The</w:t>
      </w:r>
      <w:r w:rsidRPr="008E64DF">
        <w:rPr>
          <w:lang w:val="ru-RU"/>
        </w:rPr>
        <w:t xml:space="preserve"> </w:t>
      </w:r>
      <w:r>
        <w:t>Times</w:t>
      </w:r>
      <w:r w:rsidRPr="008E64DF">
        <w:rPr>
          <w:lang w:val="ru-RU"/>
        </w:rPr>
        <w:t xml:space="preserve"> от 21.11.02 и определенная самим ее автором как “</w:t>
      </w:r>
      <w:r>
        <w:t>Parliamentary</w:t>
      </w:r>
      <w:r w:rsidRPr="008E64DF">
        <w:rPr>
          <w:lang w:val="ru-RU"/>
        </w:rPr>
        <w:t xml:space="preserve"> </w:t>
      </w:r>
      <w:r>
        <w:t>sketch</w:t>
      </w:r>
      <w:r w:rsidRPr="008E64DF">
        <w:rPr>
          <w:lang w:val="ru-RU"/>
        </w:rPr>
        <w:t>”, что позволило нам, прежде всего, классифицировать ее как статью экспрессивного характера.</w:t>
      </w:r>
    </w:p>
    <w:p w14:paraId="788EA6E7" w14:textId="77777777" w:rsidR="0089120B" w:rsidRDefault="00000000">
      <w:pPr>
        <w:pStyle w:val="a0"/>
      </w:pPr>
      <w:r>
        <w:t>The King Leaves his Enemies in the Dark Ages</w:t>
      </w:r>
    </w:p>
    <w:p w14:paraId="13A5F557" w14:textId="77777777" w:rsidR="0089120B" w:rsidRDefault="00000000">
      <w:pPr>
        <w:pStyle w:val="a0"/>
      </w:pPr>
      <w:r>
        <w:t>For verily, quoth Tony McWalter, ye portly court jester, King Tony doth have “quasi-medieval” powers, and would he like to hand over a nice comfortable barony, please.</w:t>
      </w:r>
    </w:p>
    <w:p w14:paraId="60C1C306" w14:textId="77777777" w:rsidR="0089120B" w:rsidRDefault="00000000">
      <w:pPr>
        <w:pStyle w:val="a0"/>
      </w:pPr>
      <w:r>
        <w:t>The Labour MP for Hemel Hempstead, a merry-maker with a scarlet face, used more courtly language than that, of course.</w:t>
      </w:r>
    </w:p>
    <w:p w14:paraId="0463B4C5" w14:textId="77777777" w:rsidR="0089120B" w:rsidRDefault="00000000">
      <w:pPr>
        <w:pStyle w:val="a0"/>
      </w:pPr>
      <w:r>
        <w:t>“The Prime Minister exercises very considerable powers of appointment, powers many believe are quasi-medieval in their extent”– said Mr. McWalter, bouncing a metaphorical balloon full of peas on Mr. Blair’s head…</w:t>
      </w:r>
    </w:p>
    <w:p w14:paraId="001A9926" w14:textId="77777777" w:rsidR="0089120B" w:rsidRDefault="00000000">
      <w:pPr>
        <w:pStyle w:val="a0"/>
      </w:pPr>
      <w:r>
        <w:t>Mr. McWalter is a fellow if infinite jest, but his japes are always sharply barbed. The King pretended to find this impertinence amusing and rather than order him to be publicly disemboweled, merely favoured him with a wintry smile…</w:t>
      </w:r>
    </w:p>
    <w:p w14:paraId="17720765" w14:textId="77777777" w:rsidR="0089120B" w:rsidRDefault="00000000">
      <w:pPr>
        <w:pStyle w:val="a0"/>
      </w:pPr>
      <w:r>
        <w:t>The Court toadies fell about at this proof of ye royal wit… It was a fine display of jousting, which is more than could said for what was supposed to the main event of the tournament, the clash between the King and his Tory rival. Ian Duncan Smith trotted up to the dispatch box, spurs jingling, but it became immediately apparent that his suit of armour was on backwards…</w:t>
      </w:r>
    </w:p>
    <w:p w14:paraId="0C927733" w14:textId="77777777" w:rsidR="0089120B" w:rsidRDefault="00000000">
      <w:pPr>
        <w:pStyle w:val="a0"/>
      </w:pPr>
      <w:r>
        <w:t>As IDS battered and rammed away at the impregnable ramparts, and got boiling oil poured on his head, he somehow managed to ignore the fact that around the back of the Blair castle the gates were wide open and virtually undefended…But IDS…like one of those overweighty knights of yore…seemed completely unable to change direction once he was going at full tilt, and ended up missing the target completely.</w:t>
      </w:r>
    </w:p>
    <w:p w14:paraId="69F3A8A3" w14:textId="77777777" w:rsidR="0089120B" w:rsidRDefault="00000000">
      <w:pPr>
        <w:pStyle w:val="a0"/>
      </w:pPr>
      <w:r>
        <w:t>Mr. Blair’s knees sagged. Another wallop would have felled him: but unlike IDS, the Lib Dem leader can only land two blows.</w:t>
      </w:r>
    </w:p>
    <w:p w14:paraId="439961B1" w14:textId="77777777" w:rsidR="0089120B" w:rsidRDefault="00000000">
      <w:pPr>
        <w:pStyle w:val="a0"/>
      </w:pPr>
      <w:r>
        <w:t>The Tory dark Ages are far from over.</w:t>
      </w:r>
    </w:p>
    <w:p w14:paraId="6E45A59B" w14:textId="77777777" w:rsidR="0089120B" w:rsidRPr="008E64DF" w:rsidRDefault="00000000">
      <w:pPr>
        <w:pStyle w:val="a0"/>
        <w:rPr>
          <w:lang w:val="ru-RU"/>
        </w:rPr>
      </w:pPr>
      <w:r w:rsidRPr="008E64DF">
        <w:rPr>
          <w:lang w:val="ru-RU"/>
        </w:rPr>
        <w:t xml:space="preserve">При анализе материала мы руководствовались в первую очередь положением о том, что живая, авторская метафора часто формируется на базе метафоры концептуальной, играющей важную роль в организации текста статьи и реализации авторского замысла. Так, Е.А. Шибанова полагает, что для проблемной статьи экспрессивного характера характерна реализация ключевой концептуальной метафоры в заголовке, «оживление» языковых концептуальных метафор (далее – КМ) и использование значительного </w:t>
      </w:r>
      <w:r w:rsidRPr="008E64DF">
        <w:rPr>
          <w:lang w:val="ru-RU"/>
        </w:rPr>
        <w:lastRenderedPageBreak/>
        <w:t>количества концептуальных и живых авторских метафор, основанных на наиболее значимых для данной статьи КМ.</w:t>
      </w:r>
    </w:p>
    <w:p w14:paraId="00EF1124" w14:textId="77777777" w:rsidR="0089120B" w:rsidRPr="008E64DF" w:rsidRDefault="00000000">
      <w:pPr>
        <w:pStyle w:val="a0"/>
        <w:rPr>
          <w:lang w:val="ru-RU"/>
        </w:rPr>
      </w:pPr>
      <w:r w:rsidRPr="008E64DF">
        <w:rPr>
          <w:lang w:val="ru-RU"/>
        </w:rPr>
        <w:t>В заголовке данной статьи “</w:t>
      </w:r>
      <w:r>
        <w:t>The</w:t>
      </w:r>
      <w:r w:rsidRPr="008E64DF">
        <w:rPr>
          <w:lang w:val="ru-RU"/>
        </w:rPr>
        <w:t xml:space="preserve"> </w:t>
      </w:r>
      <w:r>
        <w:t>King</w:t>
      </w:r>
      <w:r w:rsidRPr="008E64DF">
        <w:rPr>
          <w:lang w:val="ru-RU"/>
        </w:rPr>
        <w:t xml:space="preserve"> </w:t>
      </w:r>
      <w:r>
        <w:t>leaves</w:t>
      </w:r>
      <w:r w:rsidRPr="008E64DF">
        <w:rPr>
          <w:lang w:val="ru-RU"/>
        </w:rPr>
        <w:t xml:space="preserve"> </w:t>
      </w:r>
      <w:r>
        <w:t>his</w:t>
      </w:r>
      <w:r w:rsidRPr="008E64DF">
        <w:rPr>
          <w:lang w:val="ru-RU"/>
        </w:rPr>
        <w:t xml:space="preserve"> </w:t>
      </w:r>
      <w:r>
        <w:t>Enemies</w:t>
      </w:r>
      <w:r w:rsidRPr="008E64DF">
        <w:rPr>
          <w:lang w:val="ru-RU"/>
        </w:rPr>
        <w:t xml:space="preserve"> </w:t>
      </w:r>
      <w:r>
        <w:t>in</w:t>
      </w:r>
      <w:r w:rsidRPr="008E64DF">
        <w:rPr>
          <w:lang w:val="ru-RU"/>
        </w:rPr>
        <w:t xml:space="preserve"> </w:t>
      </w:r>
      <w:r>
        <w:t>the</w:t>
      </w:r>
      <w:r w:rsidRPr="008E64DF">
        <w:rPr>
          <w:lang w:val="ru-RU"/>
        </w:rPr>
        <w:t xml:space="preserve"> </w:t>
      </w:r>
      <w:r>
        <w:t>Dark</w:t>
      </w:r>
      <w:r w:rsidRPr="008E64DF">
        <w:rPr>
          <w:lang w:val="ru-RU"/>
        </w:rPr>
        <w:t xml:space="preserve"> </w:t>
      </w:r>
      <w:r>
        <w:t>Ages</w:t>
      </w:r>
      <w:r w:rsidRPr="008E64DF">
        <w:rPr>
          <w:lang w:val="ru-RU"/>
        </w:rPr>
        <w:t>” мы обнаруживаем стилистическую метафору, основанную, по всей видимости, на часто встречающейся в научных работах концептуальной системе “</w:t>
      </w:r>
      <w:r>
        <w:t>Politics</w:t>
      </w:r>
      <w:r w:rsidRPr="008E64DF">
        <w:rPr>
          <w:lang w:val="ru-RU"/>
        </w:rPr>
        <w:t xml:space="preserve"> </w:t>
      </w:r>
      <w:r>
        <w:t>is</w:t>
      </w:r>
      <w:r w:rsidRPr="008E64DF">
        <w:rPr>
          <w:lang w:val="ru-RU"/>
        </w:rPr>
        <w:t xml:space="preserve"> </w:t>
      </w:r>
      <w:r>
        <w:t>Battle</w:t>
      </w:r>
      <w:r w:rsidRPr="008E64DF">
        <w:rPr>
          <w:lang w:val="ru-RU"/>
        </w:rPr>
        <w:t xml:space="preserve">”. В данном случае эта система выступает в более детализированном виде, так как образ, возникающий на ее основе, является не столько концептуальным, сколько тяготеющим к авторской метафоре, представляющей политическую борьбу как битву довольно древних времен. Ко всему прочему следует отметить и то, что декодирование заголовка в отрыве от основного корпуса текста может оказаться крайне затруднительным или даже невозможным. Мы приняли во внимание распространенное мнение о том, что заголовок чаще всего выполняет смыслообразующую функцию, «конденсируя» содержание и идейное значение в компактной лингвистической форме, настраивая читателя и определяя восприятие текста. Таким образом, заголовок данной статьи содержит компрессионное содержание текста, выполняя одновременно и функцию номинации явления, и функцию </w:t>
      </w:r>
      <w:proofErr w:type="spellStart"/>
      <w:r w:rsidRPr="008E64DF">
        <w:rPr>
          <w:lang w:val="ru-RU"/>
        </w:rPr>
        <w:t>импликационной</w:t>
      </w:r>
      <w:proofErr w:type="spellEnd"/>
      <w:r w:rsidRPr="008E64DF">
        <w:rPr>
          <w:lang w:val="ru-RU"/>
        </w:rPr>
        <w:t xml:space="preserve"> предикации его признаков.</w:t>
      </w:r>
    </w:p>
    <w:p w14:paraId="6E713FDB" w14:textId="77777777" w:rsidR="0089120B" w:rsidRPr="008E64DF" w:rsidRDefault="00000000">
      <w:pPr>
        <w:pStyle w:val="a0"/>
        <w:rPr>
          <w:lang w:val="ru-RU"/>
        </w:rPr>
      </w:pPr>
      <w:r w:rsidRPr="008E64DF">
        <w:rPr>
          <w:lang w:val="ru-RU"/>
        </w:rPr>
        <w:t xml:space="preserve">По мере развертывания текста лексическая единица </w:t>
      </w:r>
      <w:r>
        <w:t>the</w:t>
      </w:r>
      <w:r w:rsidRPr="008E64DF">
        <w:rPr>
          <w:lang w:val="ru-RU"/>
        </w:rPr>
        <w:t xml:space="preserve"> </w:t>
      </w:r>
      <w:r>
        <w:t>King</w:t>
      </w:r>
      <w:r w:rsidRPr="008E64DF">
        <w:rPr>
          <w:lang w:val="ru-RU"/>
        </w:rPr>
        <w:t xml:space="preserve">, соотносящаяся и ассоциируемая с британским премьер-министром, под влиянием контекста индуцирует окказионально приписываемый признак у узуального денотата; этот признак – не схожесть статуса денотата и референта, но характеристика человека, его поведения в конкретной ситуации. Происходит не просто предикация свойств объекта первичной номинации объекту вторичной номинации, но и одновременная референтная соотнесенность узуального денотата с квалификативными сферами познавательной деятельности человека, а также формирование определенного стилистического смысла, что получает далее в тексте мощную поддержку благодаря цепочкам номинаций, которые образуют развернутую метафору и позволяют легко прочитывать вторичные номинации </w:t>
      </w:r>
      <w:r>
        <w:t>a</w:t>
      </w:r>
      <w:r w:rsidRPr="008E64DF">
        <w:rPr>
          <w:lang w:val="ru-RU"/>
        </w:rPr>
        <w:t xml:space="preserve"> </w:t>
      </w:r>
      <w:r>
        <w:t>fine</w:t>
      </w:r>
      <w:r w:rsidRPr="008E64DF">
        <w:rPr>
          <w:lang w:val="ru-RU"/>
        </w:rPr>
        <w:t xml:space="preserve"> </w:t>
      </w:r>
      <w:r>
        <w:t>display</w:t>
      </w:r>
      <w:r w:rsidRPr="008E64DF">
        <w:rPr>
          <w:lang w:val="ru-RU"/>
        </w:rPr>
        <w:t xml:space="preserve"> </w:t>
      </w:r>
      <w:r>
        <w:t>of</w:t>
      </w:r>
      <w:r w:rsidRPr="008E64DF">
        <w:rPr>
          <w:lang w:val="ru-RU"/>
        </w:rPr>
        <w:t xml:space="preserve"> </w:t>
      </w:r>
      <w:r>
        <w:t>jousting</w:t>
      </w:r>
      <w:r w:rsidRPr="008E64DF">
        <w:rPr>
          <w:lang w:val="ru-RU"/>
        </w:rPr>
        <w:t xml:space="preserve">, </w:t>
      </w:r>
      <w:r>
        <w:t>the</w:t>
      </w:r>
      <w:r w:rsidRPr="008E64DF">
        <w:rPr>
          <w:lang w:val="ru-RU"/>
        </w:rPr>
        <w:t xml:space="preserve"> </w:t>
      </w:r>
      <w:r>
        <w:t>tournament</w:t>
      </w:r>
      <w:r w:rsidRPr="008E64DF">
        <w:rPr>
          <w:lang w:val="ru-RU"/>
        </w:rPr>
        <w:t xml:space="preserve">, </w:t>
      </w:r>
      <w:r>
        <w:t>the</w:t>
      </w:r>
      <w:r w:rsidRPr="008E64DF">
        <w:rPr>
          <w:lang w:val="ru-RU"/>
        </w:rPr>
        <w:t xml:space="preserve"> </w:t>
      </w:r>
      <w:r>
        <w:t>clash</w:t>
      </w:r>
      <w:r w:rsidRPr="008E64DF">
        <w:rPr>
          <w:lang w:val="ru-RU"/>
        </w:rPr>
        <w:t xml:space="preserve">, </w:t>
      </w:r>
      <w:r>
        <w:t>suit</w:t>
      </w:r>
      <w:r w:rsidRPr="008E64DF">
        <w:rPr>
          <w:lang w:val="ru-RU"/>
        </w:rPr>
        <w:t xml:space="preserve"> </w:t>
      </w:r>
      <w:r>
        <w:t>of</w:t>
      </w:r>
      <w:r w:rsidRPr="008E64DF">
        <w:rPr>
          <w:lang w:val="ru-RU"/>
        </w:rPr>
        <w:t xml:space="preserve"> </w:t>
      </w:r>
      <w:proofErr w:type="spellStart"/>
      <w:r>
        <w:t>armour</w:t>
      </w:r>
      <w:proofErr w:type="spellEnd"/>
      <w:r w:rsidRPr="008E64DF">
        <w:rPr>
          <w:lang w:val="ru-RU"/>
        </w:rPr>
        <w:t xml:space="preserve"> как характеристику атмосферы, царящей в палате общин. Следует отметить, что такие </w:t>
      </w:r>
      <w:proofErr w:type="spellStart"/>
      <w:r w:rsidRPr="008E64DF">
        <w:rPr>
          <w:lang w:val="ru-RU"/>
        </w:rPr>
        <w:t>подконцепты</w:t>
      </w:r>
      <w:proofErr w:type="spellEnd"/>
      <w:r w:rsidRPr="008E64DF">
        <w:rPr>
          <w:lang w:val="ru-RU"/>
        </w:rPr>
        <w:t xml:space="preserve"> концептуальной системы “</w:t>
      </w:r>
      <w:r>
        <w:t>Politics</w:t>
      </w:r>
      <w:r w:rsidRPr="008E64DF">
        <w:rPr>
          <w:lang w:val="ru-RU"/>
        </w:rPr>
        <w:t xml:space="preserve"> </w:t>
      </w:r>
      <w:r>
        <w:t>is</w:t>
      </w:r>
      <w:r w:rsidRPr="008E64DF">
        <w:rPr>
          <w:lang w:val="ru-RU"/>
        </w:rPr>
        <w:t xml:space="preserve"> </w:t>
      </w:r>
      <w:r>
        <w:t>Battle</w:t>
      </w:r>
      <w:r w:rsidRPr="008E64DF">
        <w:rPr>
          <w:lang w:val="ru-RU"/>
        </w:rPr>
        <w:t>/</w:t>
      </w:r>
      <w:r>
        <w:t>War</w:t>
      </w:r>
      <w:r w:rsidRPr="008E64DF">
        <w:rPr>
          <w:lang w:val="ru-RU"/>
        </w:rPr>
        <w:t xml:space="preserve">”, как а) борьба, б) захват территории, находят поддержку далее в виде метафорических номинаций </w:t>
      </w:r>
      <w:r>
        <w:t>Blair</w:t>
      </w:r>
      <w:r w:rsidRPr="008E64DF">
        <w:rPr>
          <w:lang w:val="ru-RU"/>
        </w:rPr>
        <w:t xml:space="preserve"> </w:t>
      </w:r>
      <w:r>
        <w:t>castle</w:t>
      </w:r>
      <w:r w:rsidRPr="008E64DF">
        <w:rPr>
          <w:lang w:val="ru-RU"/>
        </w:rPr>
        <w:t xml:space="preserve">, </w:t>
      </w:r>
      <w:r>
        <w:t>the</w:t>
      </w:r>
      <w:r w:rsidRPr="008E64DF">
        <w:rPr>
          <w:lang w:val="ru-RU"/>
        </w:rPr>
        <w:t xml:space="preserve"> </w:t>
      </w:r>
      <w:r>
        <w:t>gates</w:t>
      </w:r>
      <w:r w:rsidRPr="008E64DF">
        <w:rPr>
          <w:lang w:val="ru-RU"/>
        </w:rPr>
        <w:t xml:space="preserve"> </w:t>
      </w:r>
      <w:r>
        <w:t>wide</w:t>
      </w:r>
      <w:r w:rsidRPr="008E64DF">
        <w:rPr>
          <w:lang w:val="ru-RU"/>
        </w:rPr>
        <w:t xml:space="preserve"> </w:t>
      </w:r>
      <w:r>
        <w:t>open</w:t>
      </w:r>
      <w:r w:rsidRPr="008E64DF">
        <w:rPr>
          <w:lang w:val="ru-RU"/>
        </w:rPr>
        <w:t xml:space="preserve"> </w:t>
      </w:r>
      <w:r>
        <w:t>and</w:t>
      </w:r>
      <w:r w:rsidRPr="008E64DF">
        <w:rPr>
          <w:lang w:val="ru-RU"/>
        </w:rPr>
        <w:t xml:space="preserve"> </w:t>
      </w:r>
      <w:r>
        <w:t>virtually</w:t>
      </w:r>
      <w:r w:rsidRPr="008E64DF">
        <w:rPr>
          <w:lang w:val="ru-RU"/>
        </w:rPr>
        <w:t xml:space="preserve"> </w:t>
      </w:r>
      <w:r>
        <w:t>undefended</w:t>
      </w:r>
      <w:r w:rsidRPr="008E64DF">
        <w:rPr>
          <w:lang w:val="ru-RU"/>
        </w:rPr>
        <w:t xml:space="preserve">, </w:t>
      </w:r>
      <w:r>
        <w:t>impregnable</w:t>
      </w:r>
      <w:r w:rsidRPr="008E64DF">
        <w:rPr>
          <w:lang w:val="ru-RU"/>
        </w:rPr>
        <w:t xml:space="preserve"> </w:t>
      </w:r>
      <w:r>
        <w:t>ramparts</w:t>
      </w:r>
      <w:r w:rsidRPr="008E64DF">
        <w:rPr>
          <w:lang w:val="ru-RU"/>
        </w:rPr>
        <w:t xml:space="preserve">, </w:t>
      </w:r>
      <w:proofErr w:type="spellStart"/>
      <w:r>
        <w:t>Mr</w:t>
      </w:r>
      <w:proofErr w:type="spellEnd"/>
      <w:r w:rsidRPr="008E64DF">
        <w:rPr>
          <w:lang w:val="ru-RU"/>
        </w:rPr>
        <w:t>.</w:t>
      </w:r>
      <w:r>
        <w:t> Blair</w:t>
      </w:r>
      <w:r w:rsidRPr="008E64DF">
        <w:rPr>
          <w:lang w:val="ru-RU"/>
        </w:rPr>
        <w:t>’</w:t>
      </w:r>
      <w:r>
        <w:t>s</w:t>
      </w:r>
      <w:r w:rsidRPr="008E64DF">
        <w:rPr>
          <w:lang w:val="ru-RU"/>
        </w:rPr>
        <w:t xml:space="preserve"> </w:t>
      </w:r>
      <w:r>
        <w:t>knees</w:t>
      </w:r>
      <w:r w:rsidRPr="008E64DF">
        <w:rPr>
          <w:lang w:val="ru-RU"/>
        </w:rPr>
        <w:t xml:space="preserve"> </w:t>
      </w:r>
      <w:r>
        <w:t>sagged</w:t>
      </w:r>
      <w:r w:rsidRPr="008E64DF">
        <w:rPr>
          <w:lang w:val="ru-RU"/>
        </w:rPr>
        <w:t xml:space="preserve"> (позиции премьер-министра по ряду вопросов), </w:t>
      </w:r>
      <w:r>
        <w:t>to</w:t>
      </w:r>
      <w:r w:rsidRPr="008E64DF">
        <w:rPr>
          <w:lang w:val="ru-RU"/>
        </w:rPr>
        <w:t xml:space="preserve"> </w:t>
      </w:r>
      <w:r>
        <w:t>get</w:t>
      </w:r>
      <w:r w:rsidRPr="008E64DF">
        <w:rPr>
          <w:lang w:val="ru-RU"/>
        </w:rPr>
        <w:t xml:space="preserve"> </w:t>
      </w:r>
      <w:r>
        <w:t>boiling</w:t>
      </w:r>
      <w:r w:rsidRPr="008E64DF">
        <w:rPr>
          <w:lang w:val="ru-RU"/>
        </w:rPr>
        <w:t xml:space="preserve"> </w:t>
      </w:r>
      <w:r>
        <w:t>oil</w:t>
      </w:r>
      <w:r w:rsidRPr="008E64DF">
        <w:rPr>
          <w:lang w:val="ru-RU"/>
        </w:rPr>
        <w:t xml:space="preserve"> </w:t>
      </w:r>
      <w:r>
        <w:t>poured</w:t>
      </w:r>
      <w:r w:rsidRPr="008E64DF">
        <w:rPr>
          <w:lang w:val="ru-RU"/>
        </w:rPr>
        <w:t xml:space="preserve"> </w:t>
      </w:r>
      <w:r>
        <w:t>on</w:t>
      </w:r>
      <w:r w:rsidRPr="008E64DF">
        <w:rPr>
          <w:lang w:val="ru-RU"/>
        </w:rPr>
        <w:t xml:space="preserve"> </w:t>
      </w:r>
      <w:r>
        <w:t>the</w:t>
      </w:r>
      <w:r w:rsidRPr="008E64DF">
        <w:rPr>
          <w:lang w:val="ru-RU"/>
        </w:rPr>
        <w:t xml:space="preserve"> </w:t>
      </w:r>
      <w:r>
        <w:t>head</w:t>
      </w:r>
      <w:r w:rsidRPr="008E64DF">
        <w:rPr>
          <w:lang w:val="ru-RU"/>
        </w:rPr>
        <w:t xml:space="preserve"> (неудачные попытки оппозиции критиковать деятельность премьер-министра), </w:t>
      </w:r>
      <w:r>
        <w:t>knights</w:t>
      </w:r>
      <w:r w:rsidRPr="008E64DF">
        <w:rPr>
          <w:lang w:val="ru-RU"/>
        </w:rPr>
        <w:t xml:space="preserve"> </w:t>
      </w:r>
      <w:r>
        <w:t>of</w:t>
      </w:r>
      <w:r w:rsidRPr="008E64DF">
        <w:rPr>
          <w:lang w:val="ru-RU"/>
        </w:rPr>
        <w:t xml:space="preserve"> </w:t>
      </w:r>
      <w:r>
        <w:t>yore</w:t>
      </w:r>
      <w:r w:rsidRPr="008E64DF">
        <w:rPr>
          <w:lang w:val="ru-RU"/>
        </w:rPr>
        <w:t xml:space="preserve"> (представители оппозиционной партии консерваторов), </w:t>
      </w:r>
      <w:r>
        <w:t>court</w:t>
      </w:r>
      <w:r w:rsidRPr="008E64DF">
        <w:rPr>
          <w:lang w:val="ru-RU"/>
        </w:rPr>
        <w:t xml:space="preserve"> </w:t>
      </w:r>
      <w:r>
        <w:t>toadies</w:t>
      </w:r>
      <w:r w:rsidRPr="008E64DF">
        <w:rPr>
          <w:lang w:val="ru-RU"/>
        </w:rPr>
        <w:t xml:space="preserve"> (соратники Блэра по партии).</w:t>
      </w:r>
    </w:p>
    <w:p w14:paraId="09ABB417" w14:textId="77777777" w:rsidR="0089120B" w:rsidRPr="008E64DF" w:rsidRDefault="00000000">
      <w:pPr>
        <w:pStyle w:val="a0"/>
        <w:rPr>
          <w:lang w:val="ru-RU"/>
        </w:rPr>
      </w:pPr>
      <w:r w:rsidRPr="008E64DF">
        <w:rPr>
          <w:lang w:val="ru-RU"/>
        </w:rPr>
        <w:t>Пронизывая весь текст, вторичные метафорические номинации успешно реализуют в нем свои предикативные функции, устанавливая тем самым определенное соответствие между свойствами предмета и понятием, отраженным в значении слова. Смысл комплексов номинативных средств в соответствии с замыслом автора совпадает со свойствами денотатов и с самого начала набирает силу, создавая свой образ лиц и явлений действительности, оказывая определенное воздействие на реципиента. Номинативные цепочки, таким образом, усиливают это воздействие и, по меткому определению Н.Д. Арутюновой, высекают новый смысл, обогащая тем самым и образность текста.</w:t>
      </w:r>
    </w:p>
    <w:p w14:paraId="1B289B38" w14:textId="77777777" w:rsidR="0089120B" w:rsidRPr="008E64DF" w:rsidRDefault="00000000">
      <w:pPr>
        <w:pStyle w:val="a0"/>
        <w:rPr>
          <w:lang w:val="ru-RU"/>
        </w:rPr>
      </w:pPr>
      <w:r w:rsidRPr="008E64DF">
        <w:rPr>
          <w:lang w:val="ru-RU"/>
        </w:rPr>
        <w:lastRenderedPageBreak/>
        <w:t>Представив текст как совокупность двух уровней – композиционного и стилистического, следует отметить и то, как стилистический прием метафоры реализует себя на каждом из них. Так, на композиционном уровне метафора обеспечивает непрерывность текста, как бы «прорастая» из абзаца в абзац, выполняя тем самым в нем функцию образной когезии, соединяя текст, представляя два параллельных события единым целым. Как известно, в основе образной когезии лежит представление о статичности объектов повествования при подвижности их характеристик. Метафора помогает связать не явления действительности, а образы этих явлений. На стилистическом уровне метафора создает благоприятные условия для восприятия читателем эмоциональной оценки автора, что достигается неоднократным предъявлением данного приема в тексте.</w:t>
      </w:r>
    </w:p>
    <w:p w14:paraId="7FD7640B" w14:textId="77777777" w:rsidR="0089120B" w:rsidRPr="008E64DF" w:rsidRDefault="00000000">
      <w:pPr>
        <w:pStyle w:val="a0"/>
        <w:rPr>
          <w:lang w:val="ru-RU"/>
        </w:rPr>
      </w:pPr>
      <w:r w:rsidRPr="008E64DF">
        <w:rPr>
          <w:lang w:val="ru-RU"/>
        </w:rPr>
        <w:t xml:space="preserve">Развернутая метафора, представленная цепочками оригинальных вторичных номинаций, обеспечивает присутствие и поддержание в тексте смысловой нити, образа-основы, обеспечивающих линейный характер восприятия сообщения. Смысловая соотнесенность между всеми отрезками текста, таким образом, не только не нарушается, но и приобретает четкую выраженность, что может быть обусловлено наличием между ними лексико-семантических связей. Так, заголовок статьи, представляющий собой тезис корпуса текста, планомерно развертывается в нем, раскрывает свои возможности и, обогащая текст новым смыслом, упорядочивает его. Заслуживает внимания и то, как в данном тексте проявляет себя лимитирующая функция метафоры. Метафора </w:t>
      </w:r>
      <w:r>
        <w:t>the</w:t>
      </w:r>
      <w:r w:rsidRPr="008E64DF">
        <w:rPr>
          <w:lang w:val="ru-RU"/>
        </w:rPr>
        <w:t xml:space="preserve"> </w:t>
      </w:r>
      <w:r>
        <w:t>King</w:t>
      </w:r>
      <w:r w:rsidRPr="008E64DF">
        <w:rPr>
          <w:lang w:val="ru-RU"/>
        </w:rPr>
        <w:t xml:space="preserve"> </w:t>
      </w:r>
      <w:r>
        <w:t>leaves</w:t>
      </w:r>
      <w:r w:rsidRPr="008E64DF">
        <w:rPr>
          <w:lang w:val="ru-RU"/>
        </w:rPr>
        <w:t xml:space="preserve"> </w:t>
      </w:r>
      <w:r>
        <w:t>his</w:t>
      </w:r>
      <w:r w:rsidRPr="008E64DF">
        <w:rPr>
          <w:lang w:val="ru-RU"/>
        </w:rPr>
        <w:t xml:space="preserve"> </w:t>
      </w:r>
      <w:r>
        <w:t>enemies</w:t>
      </w:r>
      <w:r w:rsidRPr="008E64DF">
        <w:rPr>
          <w:lang w:val="ru-RU"/>
        </w:rPr>
        <w:t xml:space="preserve"> </w:t>
      </w:r>
      <w:r>
        <w:t>in</w:t>
      </w:r>
      <w:r w:rsidRPr="008E64DF">
        <w:rPr>
          <w:lang w:val="ru-RU"/>
        </w:rPr>
        <w:t xml:space="preserve"> </w:t>
      </w:r>
      <w:r>
        <w:t>the</w:t>
      </w:r>
      <w:r w:rsidRPr="008E64DF">
        <w:rPr>
          <w:lang w:val="ru-RU"/>
        </w:rPr>
        <w:t xml:space="preserve"> </w:t>
      </w:r>
      <w:r>
        <w:t>Dark</w:t>
      </w:r>
      <w:r w:rsidRPr="008E64DF">
        <w:rPr>
          <w:lang w:val="ru-RU"/>
        </w:rPr>
        <w:t xml:space="preserve"> </w:t>
      </w:r>
      <w:r>
        <w:t>Ages</w:t>
      </w:r>
      <w:r w:rsidRPr="008E64DF">
        <w:rPr>
          <w:lang w:val="ru-RU"/>
        </w:rPr>
        <w:t xml:space="preserve">, взаимодействуя с корпусом текста, обеспечивает его завершенность, когда изложенной в нем информации становится достаточно для полного, адекватного восприятия тропа в заголовке. Использование подчеркивающего завершенность текста повтора тропа в начале и в заключительном абзаце характерно для статьи-комментария, а также передовой статьи. По мере развертывания текста читатель прочитывает указанную метафору следующим образом: «представители оппозиционной партии консерваторов, пытаясь критиковать премьер-министра, подобно средневековым рыцарям терпят поражение во время «турнира». Их критика оказывается недейственной и «беззубой»». Последнее предложение </w:t>
      </w:r>
      <w:r>
        <w:t>the</w:t>
      </w:r>
      <w:r w:rsidRPr="008E64DF">
        <w:rPr>
          <w:lang w:val="ru-RU"/>
        </w:rPr>
        <w:t xml:space="preserve"> </w:t>
      </w:r>
      <w:r>
        <w:t>Tory</w:t>
      </w:r>
      <w:r w:rsidRPr="008E64DF">
        <w:rPr>
          <w:lang w:val="ru-RU"/>
        </w:rPr>
        <w:t xml:space="preserve"> </w:t>
      </w:r>
      <w:r>
        <w:t>Dark</w:t>
      </w:r>
      <w:r w:rsidRPr="008E64DF">
        <w:rPr>
          <w:lang w:val="ru-RU"/>
        </w:rPr>
        <w:t xml:space="preserve"> </w:t>
      </w:r>
      <w:r>
        <w:t>Ages</w:t>
      </w:r>
      <w:r w:rsidRPr="008E64DF">
        <w:rPr>
          <w:lang w:val="ru-RU"/>
        </w:rPr>
        <w:t xml:space="preserve"> </w:t>
      </w:r>
      <w:r>
        <w:t>are</w:t>
      </w:r>
      <w:r w:rsidRPr="008E64DF">
        <w:rPr>
          <w:lang w:val="ru-RU"/>
        </w:rPr>
        <w:t xml:space="preserve"> </w:t>
      </w:r>
      <w:r>
        <w:t>far</w:t>
      </w:r>
      <w:r w:rsidRPr="008E64DF">
        <w:rPr>
          <w:lang w:val="ru-RU"/>
        </w:rPr>
        <w:t xml:space="preserve"> </w:t>
      </w:r>
      <w:r>
        <w:t>from</w:t>
      </w:r>
      <w:r w:rsidRPr="008E64DF">
        <w:rPr>
          <w:lang w:val="ru-RU"/>
        </w:rPr>
        <w:t xml:space="preserve"> </w:t>
      </w:r>
      <w:r>
        <w:t>over</w:t>
      </w:r>
      <w:r w:rsidRPr="008E64DF">
        <w:rPr>
          <w:lang w:val="ru-RU"/>
        </w:rPr>
        <w:t xml:space="preserve"> эксплицирует соотнесенность метафоры в заголовке с предметом комментария, подчеркивая тем самым формальную завершенность текста по отношению к заголовку.</w:t>
      </w:r>
    </w:p>
    <w:p w14:paraId="0525FCC0" w14:textId="77777777" w:rsidR="0089120B" w:rsidRPr="008E64DF" w:rsidRDefault="00000000">
      <w:pPr>
        <w:pStyle w:val="a0"/>
        <w:rPr>
          <w:lang w:val="ru-RU"/>
        </w:rPr>
      </w:pPr>
      <w:r w:rsidRPr="008E64DF">
        <w:rPr>
          <w:lang w:val="ru-RU"/>
        </w:rPr>
        <w:t xml:space="preserve">Разумеется, что указанные нами некоторые особенности реализации метафоры в газетном тексте не могут претендовать на </w:t>
      </w:r>
      <w:proofErr w:type="spellStart"/>
      <w:r w:rsidRPr="008E64DF">
        <w:rPr>
          <w:lang w:val="ru-RU"/>
        </w:rPr>
        <w:t>исчерпываемость</w:t>
      </w:r>
      <w:proofErr w:type="spellEnd"/>
      <w:r w:rsidRPr="008E64DF">
        <w:rPr>
          <w:lang w:val="ru-RU"/>
        </w:rPr>
        <w:t>. Нашей задачей было, прежде всего, указать на несколько наиболее заметных особенностей функционирования метафоры на уровне текста, а также и на ее номинативный, интеграционный и прагматический потенциал, реализуемый метафорой в дискурсе.</w:t>
      </w:r>
    </w:p>
    <w:p w14:paraId="1D5E03E1" w14:textId="77777777" w:rsidR="0089120B" w:rsidRPr="008E64DF" w:rsidRDefault="00000000">
      <w:pPr>
        <w:pStyle w:val="a0"/>
        <w:rPr>
          <w:lang w:val="ru-RU"/>
        </w:rPr>
      </w:pPr>
      <w:r w:rsidRPr="008E64DF">
        <w:rPr>
          <w:lang w:val="ru-RU"/>
        </w:rPr>
        <w:t xml:space="preserve">В заключение целесообразно выделить некоторые </w:t>
      </w:r>
      <w:proofErr w:type="spellStart"/>
      <w:r w:rsidRPr="008E64DF">
        <w:rPr>
          <w:lang w:val="ru-RU"/>
        </w:rPr>
        <w:t>прагматикостилистические</w:t>
      </w:r>
      <w:proofErr w:type="spellEnd"/>
      <w:r w:rsidRPr="008E64DF">
        <w:rPr>
          <w:lang w:val="ru-RU"/>
        </w:rPr>
        <w:t xml:space="preserve"> функции метафоры, которые она реализует в английском газетном тексте.</w:t>
      </w:r>
    </w:p>
    <w:p w14:paraId="3AC79612" w14:textId="77777777" w:rsidR="0089120B" w:rsidRPr="008E64DF" w:rsidRDefault="00000000">
      <w:pPr>
        <w:pStyle w:val="a0"/>
        <w:rPr>
          <w:lang w:val="ru-RU"/>
        </w:rPr>
      </w:pPr>
      <w:r w:rsidRPr="008E64DF">
        <w:rPr>
          <w:lang w:val="ru-RU"/>
        </w:rPr>
        <w:t xml:space="preserve">Во-первых, язык прессы, как известно, отличается не только </w:t>
      </w:r>
      <w:proofErr w:type="spellStart"/>
      <w:r w:rsidRPr="008E64DF">
        <w:rPr>
          <w:lang w:val="ru-RU"/>
        </w:rPr>
        <w:t>клишированностью</w:t>
      </w:r>
      <w:proofErr w:type="spellEnd"/>
      <w:r w:rsidRPr="008E64DF">
        <w:rPr>
          <w:lang w:val="ru-RU"/>
        </w:rPr>
        <w:t xml:space="preserve"> и стремлением к стандарту, но и экспрессивностью, чей потенциал удачно дополняет экспрессивно-образная метафора, вплетаясь в смысловую ткань используемых в нем языковых средств.</w:t>
      </w:r>
    </w:p>
    <w:p w14:paraId="15D50762" w14:textId="77777777" w:rsidR="0089120B" w:rsidRDefault="00000000">
      <w:pPr>
        <w:pStyle w:val="a0"/>
      </w:pPr>
      <w:r w:rsidRPr="008E64DF">
        <w:rPr>
          <w:lang w:val="ru-RU"/>
        </w:rPr>
        <w:lastRenderedPageBreak/>
        <w:t xml:space="preserve">Во-вторых, имплицитно или эксплицитно обусловленная контекстом, порожденная им метафорическая номинация легко декодируется и оживляет повествование, но вне контекста прочитывается с большим трудом. </w:t>
      </w:r>
      <w:proofErr w:type="spellStart"/>
      <w:r>
        <w:t>Например</w:t>
      </w:r>
      <w:proofErr w:type="spellEnd"/>
      <w:r>
        <w:t>:</w:t>
      </w:r>
    </w:p>
    <w:p w14:paraId="28890216" w14:textId="77777777" w:rsidR="0089120B" w:rsidRPr="008E64DF" w:rsidRDefault="00000000">
      <w:pPr>
        <w:pStyle w:val="a0"/>
        <w:rPr>
          <w:lang w:val="ru-RU"/>
        </w:rPr>
      </w:pPr>
      <w:r>
        <w:t xml:space="preserve">Like British English, Indian English is a lake in which tigers can swim and mice can paddle. </w:t>
      </w:r>
      <w:r w:rsidRPr="008E64DF">
        <w:rPr>
          <w:lang w:val="ru-RU"/>
        </w:rPr>
        <w:t>(</w:t>
      </w:r>
      <w:r>
        <w:t>The</w:t>
      </w:r>
      <w:r w:rsidRPr="008E64DF">
        <w:rPr>
          <w:lang w:val="ru-RU"/>
        </w:rPr>
        <w:t xml:space="preserve"> </w:t>
      </w:r>
      <w:r>
        <w:t>Times</w:t>
      </w:r>
      <w:r w:rsidRPr="008E64DF">
        <w:rPr>
          <w:lang w:val="ru-RU"/>
        </w:rPr>
        <w:t>, 11.10.02)</w:t>
      </w:r>
    </w:p>
    <w:p w14:paraId="2B21C469" w14:textId="77777777" w:rsidR="0089120B" w:rsidRPr="008E64DF" w:rsidRDefault="00000000">
      <w:pPr>
        <w:pStyle w:val="a0"/>
        <w:rPr>
          <w:lang w:val="ru-RU"/>
        </w:rPr>
      </w:pPr>
      <w:r w:rsidRPr="008E64DF">
        <w:rPr>
          <w:lang w:val="ru-RU"/>
        </w:rPr>
        <w:t>Данная метафора вполне могла бы поставить читателя в тупик, если бы не дальнейшее пояснение: “</w:t>
      </w:r>
      <w:r>
        <w:t>It</w:t>
      </w:r>
      <w:r w:rsidRPr="008E64DF">
        <w:rPr>
          <w:lang w:val="ru-RU"/>
        </w:rPr>
        <w:t xml:space="preserve"> </w:t>
      </w:r>
      <w:r>
        <w:t>ranges</w:t>
      </w:r>
      <w:r w:rsidRPr="008E64DF">
        <w:rPr>
          <w:lang w:val="ru-RU"/>
        </w:rPr>
        <w:t xml:space="preserve"> </w:t>
      </w:r>
      <w:r>
        <w:t>from</w:t>
      </w:r>
      <w:r w:rsidRPr="008E64DF">
        <w:rPr>
          <w:lang w:val="ru-RU"/>
        </w:rPr>
        <w:t xml:space="preserve"> </w:t>
      </w:r>
      <w:r>
        <w:t>the</w:t>
      </w:r>
      <w:r w:rsidRPr="008E64DF">
        <w:rPr>
          <w:lang w:val="ru-RU"/>
        </w:rPr>
        <w:t xml:space="preserve"> </w:t>
      </w:r>
      <w:r>
        <w:t>best</w:t>
      </w:r>
      <w:r w:rsidRPr="008E64DF">
        <w:rPr>
          <w:lang w:val="ru-RU"/>
        </w:rPr>
        <w:t xml:space="preserve"> </w:t>
      </w:r>
      <w:r>
        <w:t>formal</w:t>
      </w:r>
      <w:r w:rsidRPr="008E64DF">
        <w:rPr>
          <w:lang w:val="ru-RU"/>
        </w:rPr>
        <w:t xml:space="preserve"> </w:t>
      </w:r>
      <w:r>
        <w:t>writing</w:t>
      </w:r>
      <w:r w:rsidRPr="008E64DF">
        <w:rPr>
          <w:lang w:val="ru-RU"/>
        </w:rPr>
        <w:t xml:space="preserve"> </w:t>
      </w:r>
      <w:r>
        <w:t>to</w:t>
      </w:r>
      <w:r w:rsidRPr="008E64DF">
        <w:rPr>
          <w:lang w:val="ru-RU"/>
        </w:rPr>
        <w:t xml:space="preserve"> </w:t>
      </w:r>
      <w:r>
        <w:t>vernacular</w:t>
      </w:r>
      <w:r w:rsidRPr="008E64DF">
        <w:rPr>
          <w:lang w:val="ru-RU"/>
        </w:rPr>
        <w:t xml:space="preserve"> </w:t>
      </w:r>
      <w:r>
        <w:t>trash</w:t>
      </w:r>
      <w:r w:rsidRPr="008E64DF">
        <w:rPr>
          <w:lang w:val="ru-RU"/>
        </w:rPr>
        <w:t>”. Оно подсказывает читателю мысль о том, что индийский вариант английского языка представляет собой подчас оригинальную совокупность языковых и стилевых противоположностей.</w:t>
      </w:r>
    </w:p>
    <w:p w14:paraId="4978AF62" w14:textId="77777777" w:rsidR="0089120B" w:rsidRPr="008E64DF" w:rsidRDefault="00000000">
      <w:pPr>
        <w:pStyle w:val="a0"/>
        <w:rPr>
          <w:lang w:val="ru-RU"/>
        </w:rPr>
      </w:pPr>
      <w:r w:rsidRPr="008E64DF">
        <w:rPr>
          <w:lang w:val="ru-RU"/>
        </w:rPr>
        <w:t>В-третьих, прагматический потенциал метафоры особенно ярко проявляется в ее способности формировать определенное отношение к обсуждаемой теме или проблеме, подчас способствуя выработке стереотипного их восприятия читателем. Таким образом, метафора в полной мере помогает газетному тексту реализовать некоторые из основных его функций, представленных в традиционных терминах англоязычной журналистики, как “</w:t>
      </w:r>
      <w:r>
        <w:t>to</w:t>
      </w:r>
      <w:r w:rsidRPr="008E64DF">
        <w:rPr>
          <w:lang w:val="ru-RU"/>
        </w:rPr>
        <w:t xml:space="preserve"> </w:t>
      </w:r>
      <w:r>
        <w:t>inform</w:t>
      </w:r>
      <w:r w:rsidRPr="008E64DF">
        <w:rPr>
          <w:lang w:val="ru-RU"/>
        </w:rPr>
        <w:t xml:space="preserve">, </w:t>
      </w:r>
      <w:r>
        <w:t>to</w:t>
      </w:r>
      <w:r w:rsidRPr="008E64DF">
        <w:rPr>
          <w:lang w:val="ru-RU"/>
        </w:rPr>
        <w:t xml:space="preserve"> </w:t>
      </w:r>
      <w:r>
        <w:t>instruct</w:t>
      </w:r>
      <w:r w:rsidRPr="008E64DF">
        <w:rPr>
          <w:lang w:val="ru-RU"/>
        </w:rPr>
        <w:t xml:space="preserve"> </w:t>
      </w:r>
      <w:r>
        <w:t>and</w:t>
      </w:r>
      <w:r w:rsidRPr="008E64DF">
        <w:rPr>
          <w:lang w:val="ru-RU"/>
        </w:rPr>
        <w:t xml:space="preserve"> </w:t>
      </w:r>
      <w:r>
        <w:t>to</w:t>
      </w:r>
      <w:r w:rsidRPr="008E64DF">
        <w:rPr>
          <w:lang w:val="ru-RU"/>
        </w:rPr>
        <w:t xml:space="preserve"> </w:t>
      </w:r>
      <w:r>
        <w:t>entertain</w:t>
      </w:r>
      <w:r w:rsidRPr="008E64DF">
        <w:rPr>
          <w:lang w:val="ru-RU"/>
        </w:rPr>
        <w:t>”.</w:t>
      </w:r>
    </w:p>
    <w:p w14:paraId="35ED2821" w14:textId="77777777" w:rsidR="0089120B" w:rsidRDefault="00000000">
      <w:pPr>
        <w:pStyle w:val="a0"/>
      </w:pPr>
      <w:r w:rsidRPr="008E64DF">
        <w:rPr>
          <w:lang w:val="ru-RU"/>
        </w:rPr>
        <w:t xml:space="preserve">В-четвертых, экспрессивная функция метафоры проявляет себя и в создании определенного субъективно-оценочного подтекста, выявляющего авторское отношение к описываемому событию, чаще </w:t>
      </w:r>
      <w:proofErr w:type="spellStart"/>
      <w:r w:rsidRPr="008E64DF">
        <w:rPr>
          <w:lang w:val="ru-RU"/>
        </w:rPr>
        <w:t>саркастико</w:t>
      </w:r>
      <w:proofErr w:type="spellEnd"/>
      <w:r w:rsidRPr="008E64DF">
        <w:rPr>
          <w:lang w:val="ru-RU"/>
        </w:rPr>
        <w:t xml:space="preserve">-ироническое, сообщая тексту определенную модальность. </w:t>
      </w:r>
      <w:proofErr w:type="spellStart"/>
      <w:r>
        <w:t>Например</w:t>
      </w:r>
      <w:proofErr w:type="spellEnd"/>
      <w:r>
        <w:t>:</w:t>
      </w:r>
    </w:p>
    <w:p w14:paraId="6629588C" w14:textId="77777777" w:rsidR="0089120B" w:rsidRPr="008E64DF" w:rsidRDefault="00000000">
      <w:pPr>
        <w:pStyle w:val="a0"/>
        <w:rPr>
          <w:lang w:val="ru-RU"/>
        </w:rPr>
      </w:pPr>
      <w:r>
        <w:t xml:space="preserve">They were both born with golden ladles in their mouths and they choked on them. </w:t>
      </w:r>
      <w:r w:rsidRPr="008E64DF">
        <w:rPr>
          <w:lang w:val="ru-RU"/>
        </w:rPr>
        <w:t>(</w:t>
      </w:r>
      <w:r>
        <w:t>The</w:t>
      </w:r>
      <w:r w:rsidRPr="008E64DF">
        <w:rPr>
          <w:lang w:val="ru-RU"/>
        </w:rPr>
        <w:t xml:space="preserve"> </w:t>
      </w:r>
      <w:r>
        <w:t>Daily</w:t>
      </w:r>
      <w:r w:rsidRPr="008E64DF">
        <w:rPr>
          <w:lang w:val="ru-RU"/>
        </w:rPr>
        <w:t xml:space="preserve"> </w:t>
      </w:r>
      <w:r>
        <w:t>Mail</w:t>
      </w:r>
      <w:r w:rsidRPr="008E64DF">
        <w:rPr>
          <w:lang w:val="ru-RU"/>
        </w:rPr>
        <w:t>, 16.09.03)</w:t>
      </w:r>
    </w:p>
    <w:p w14:paraId="5B36D58A" w14:textId="77777777" w:rsidR="0089120B" w:rsidRPr="008E64DF" w:rsidRDefault="00000000">
      <w:pPr>
        <w:pStyle w:val="a0"/>
        <w:rPr>
          <w:lang w:val="ru-RU"/>
        </w:rPr>
      </w:pPr>
      <w:r w:rsidRPr="008E64DF">
        <w:rPr>
          <w:lang w:val="ru-RU"/>
        </w:rPr>
        <w:t>В-пятых, являясь средством образной когезии, метафора интегрирует текст, обеспечивая более полную реализацию в нем авторского замысла. Использование метафоры, равно как и других образных тропов, для обеспечения связности и завершенности текста, отвечает также и принципу экономии языковых средств, характеризующему газетный стиль.</w:t>
      </w:r>
    </w:p>
    <w:p w14:paraId="61AAF170" w14:textId="77777777" w:rsidR="0089120B" w:rsidRPr="008E64DF" w:rsidRDefault="00000000">
      <w:pPr>
        <w:pStyle w:val="a0"/>
        <w:rPr>
          <w:lang w:val="ru-RU"/>
        </w:rPr>
      </w:pPr>
      <w:r w:rsidRPr="008E64DF">
        <w:rPr>
          <w:lang w:val="ru-RU"/>
        </w:rPr>
        <w:t xml:space="preserve">Итак, следует еще раз отметить, что полифункциональная природа метафоры, богатство ее прагматического потенциала, ее </w:t>
      </w:r>
      <w:proofErr w:type="spellStart"/>
      <w:r w:rsidRPr="008E64DF">
        <w:rPr>
          <w:lang w:val="ru-RU"/>
        </w:rPr>
        <w:t>текстообразующие</w:t>
      </w:r>
      <w:proofErr w:type="spellEnd"/>
      <w:r w:rsidRPr="008E64DF">
        <w:rPr>
          <w:lang w:val="ru-RU"/>
        </w:rPr>
        <w:t xml:space="preserve"> способности могут, по нашему мнению, составить предмет ряда дальнейших разработок данного вопроса. Анализ и описание номинативного потенциала метафоры, а также проблема выбора и мотива в процессе именования, изучение соотношения метафоры с оценкой помогут существенно расширить в будущем границы исследований явления метафоры.</w:t>
      </w:r>
    </w:p>
    <w:sectPr w:rsidR="0089120B" w:rsidRPr="008E64DF">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75FBD" w14:textId="77777777" w:rsidR="00A07A84" w:rsidRDefault="00A07A84">
      <w:pPr>
        <w:spacing w:after="0"/>
      </w:pPr>
      <w:r>
        <w:separator/>
      </w:r>
    </w:p>
  </w:endnote>
  <w:endnote w:type="continuationSeparator" w:id="0">
    <w:p w14:paraId="7112EB39" w14:textId="77777777" w:rsidR="00A07A84" w:rsidRDefault="00A07A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27D23" w14:textId="77777777" w:rsidR="00A07A84" w:rsidRDefault="00A07A84">
      <w:r>
        <w:separator/>
      </w:r>
    </w:p>
  </w:footnote>
  <w:footnote w:type="continuationSeparator" w:id="0">
    <w:p w14:paraId="020AA05A" w14:textId="77777777" w:rsidR="00A07A84" w:rsidRDefault="00A07A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34B7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0155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120B"/>
    <w:rsid w:val="0089120B"/>
    <w:rsid w:val="008E64DF"/>
    <w:rsid w:val="00945AD6"/>
    <w:rsid w:val="00A07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8165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5632</Words>
  <Characters>32106</Characters>
  <Application>Microsoft Office Word</Application>
  <DocSecurity>0</DocSecurity>
  <Lines>267</Lines>
  <Paragraphs>75</Paragraphs>
  <ScaleCrop>false</ScaleCrop>
  <Company/>
  <LinksUpToDate>false</LinksUpToDate>
  <CharactersWithSpaces>37663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2026-04-28T00:22:00Z</dcterms:created>
  <dcterms:modified xsi:type="dcterms:W3CDTF">2026-04-28T13:26:00Z</dcterms:modified>
</cp:coreProperties>
</file>