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С начала 90-х годов дериватологи начинают активно разрабатывать проблему непрямых мотивационных отношений в словообразовании (О.П. Ермакова, Е.А. Земская, И.А. Ширшов, И.С. Улуханов), хотя первые наблюдения были сделаны еще в середине 70-х годов. Исследуя семантику производного слова, ученые обнаружили, что оно может соотноситься со своим производящим не только прямыми, но и образными, в частности, метафорическими значениями: змея – змеиться, вуаль – вуалировать, нога – подножие, зверь – звероватый, бросать – броский и под. Это явление получило наименование метафорическая мотивация, или словообразовательная метафора.</w:t>
      </w:r>
    </w:p>
    <w:p>
      <w:pPr>
        <w:pStyle w:val="BodyText"/>
      </w:pPr>
      <w:r>
        <w:t xml:space="preserve">Большинство исследователей пытались создать классификации различных типов семантической соотнесенности между производным и производящим, но либо в связи с проблемами степеней производности, либо семантической доли производящего в семантике производного. Собственно словообразовательные метафоры не рассматривались на фоне их смысловой связи с производящими.</w:t>
      </w:r>
    </w:p>
    <w:p>
      <w:pPr>
        <w:pStyle w:val="BodyText"/>
      </w:pPr>
      <w:r>
        <w:t xml:space="preserve">В настоящей статье будет предложена классификация словообразовательных метафор (СМ) по степени их семантической связи с производящими (мотивирующими).</w:t>
      </w:r>
    </w:p>
    <w:p>
      <w:pPr>
        <w:pStyle w:val="BodyText"/>
      </w:pPr>
      <w:r>
        <w:t xml:space="preserve">За основу классификации мы взяли степень удаленности значений СМ и мотивирующего. Сама степень определялась нами по той доле семантического «вклада» производящего, которая участвует в образовании словообразовательной метафоры (т.е. какие именно семы легли в основу метафорического значения производного: ядерные, дифференциальные, периферийные, потенциальные, а также ассоциативное окружение слова и его коннотации), с одной стороны, и роли аффиксов в формировании лексического значения СМ – с другой, «поскольку не следует связывать понятие мотивированности производного слова исключительно с наличием в его формальной структуре определенного отсылочного компонента как материального следа связанности основы конкретного производного слова с мотивирующим словом».</w:t>
      </w:r>
    </w:p>
    <w:p>
      <w:pPr>
        <w:pStyle w:val="BodyText"/>
      </w:pPr>
      <w:r>
        <w:t xml:space="preserve">Помимо компонентного анализа, мы использовали также прием компаративной развертки (при невозможности применения такого приема СМ квалифицируются как семантически слабо связанные с производящими) и контекстуальный анализ.</w:t>
      </w:r>
    </w:p>
    <w:p>
      <w:pPr>
        <w:pStyle w:val="BodyText"/>
      </w:pPr>
      <w:r>
        <w:t xml:space="preserve">В результате проведенного анализа мы обнаружили четыре основных типа соотнесенности СМ с мотивирующими. Для наименования данных типов воспользуемся существующими наименованиями разновидностей лексических метафор: внешняя (I степень), внутренняя (II степень), ассоциативная (III степень), экспрессивная (IV степень).</w:t>
      </w:r>
    </w:p>
    <w:p>
      <w:pPr>
        <w:pStyle w:val="BodyText"/>
      </w:pPr>
      <w:r>
        <w:t xml:space="preserve">Предлагаемая классификация носит условный характер в той мере, в какой условны все классификации, ограничивающие объект описания определенными рамками. При построении же семантической классификации исследователь во многом опирается на свой личный филологический опыт и языковое чутье. Нами обнаружены единицы промежуточного, «межступенчатого» характера, однако они квалифицировались с учетом семантического «перевеса» (пусть незначительного) в ту или иную сторону, т.е. тяготения к какому-либо типу СМ – в этом случае, естественно, в наибольшей степени проявляется субъективный фактор.</w:t>
      </w:r>
    </w:p>
    <w:p>
      <w:pPr>
        <w:pStyle w:val="BodyText"/>
      </w:pPr>
      <w:r>
        <w:t xml:space="preserve">Мы сознательно ограничиваем себя данными четырьмя типами СМ, поскольку более детальная классификация, во-первых, заставит нас и дальше выделять все более мелкие подтипы и разновидности, т.е. выстраивать очень сложную (и возможно запутанную) рубрикацию, что превратится в самоцель, а, во-вторых, наша задача в другом – представив систему типов словообразовательных метафор через наиболее яркие случаи, выявить основные особенности этих типов, их различное «поведение» в лексико-семантическом пространстве языка.</w:t>
      </w:r>
    </w:p>
    <w:p>
      <w:pPr>
        <w:pStyle w:val="BodyText"/>
      </w:pPr>
      <w:r>
        <w:t xml:space="preserve">При толковании значений многозначных производящих приводились те ЛСВ, которые стали основой для формирования метафорического значения производных слов.</w:t>
      </w:r>
    </w:p>
    <w:p>
      <w:pPr>
        <w:pStyle w:val="BodyText"/>
      </w:pPr>
      <w:r>
        <w:t xml:space="preserve">1. Внешняя СМ (I степень). Данный тип СМ базируется на внешнем сходстве сравниваемых предметов, признаков, действий. Следует, однако, помнить, что здесь имеется в виду не прямое сходство (поскольку производное и производящее обозначают разные явления), а сходство через ситуацию. В основу переноса может быть положена любая эксплицитная сема или ряд сем. Формант, в зависимости от того, меняется частеречная принадлежность производного по сравнению с производящим или нет, – либо служит грамматическим маркером СМ и актуализатором метафорического смысла змея → змеистый, змея → змеиться, либо задает направление метафорического переноса: шея → перешеек, играть → взыграть. Толкование значения производного возможно через сравнительный оборот: змея ‘пресмыкающееся с длинным телом, без ног’ → змеевик ‘изогнутая трубка &lt;напоминающая по форме змею&gt;’.</w:t>
      </w:r>
    </w:p>
    <w:p>
      <w:pPr>
        <w:pStyle w:val="BodyText"/>
      </w:pPr>
      <w:r>
        <w:t xml:space="preserve">Словообразовательная метафора, основанная на внешнем сходстве, – достаточно редкое явление. Для существительных потому, что внешнее сходство предметов – через понятия – предполагает отражение в одинаковой форме: спелая груша – боксерская груша; показать язык – языки пламени и др., тогда как словообразовательная метафора – это всегда изменение формы, в том числе и грамматической, кроме того, внешняя СМ характерна только для конкретных (неличных) существительных. Для прилагательных метафоризация на основе внешнего сходства не характерна вообще (в том числе и для лексических метафор), поскольку их переносные значения создаются в основном за счет внутренних ассоциаций. Выделение внешней глагольной СМ вообще представляется весьма проблематичным и далеко не бесспорным, поскольку если лексическая глагольная метафора может основываться на прямом сравнении действия различных субъектов (или предметов): волк воет – ветер воет, корова мычит – мой сосед по парте что-то мычит, то словообразовательная метафора «сталкивается» с такими «проблемами», как изменение морфологической структуры слова и частеречного статуса (последнее необязательно).</w:t>
      </w:r>
    </w:p>
    <w:p>
      <w:pPr>
        <w:pStyle w:val="BodyText"/>
      </w:pPr>
      <w:r>
        <w:t xml:space="preserve">2. Внутренняя СМ (II степень). Внутренняя СМ – результат сопоставления скрытых, внутренних свойств сравниваемых объектов. Перенос происходит на основе периферийных и потенциальных сем. Внутренняя СМ также допускает компаративную развертку: карман ‘часть одежды (брюк, пальто, пиджака) в виде пришитого к ней или вшитого мешочка для ношения при себе мелких вещей, денег’ → прикарманить ‘присвоить, взять себе &lt;как бы положив в свой карман&gt;’. Значение производного базируется на потенциальной семе ‘собственный’; кроме того, IV. проблемы русской филологии огромную роль играет семантика приставки при- ‘действие, совершаемое в своих интересах’ (привлечь, приманить, присвоить, припрятать).</w:t>
      </w:r>
    </w:p>
    <w:p>
      <w:pPr>
        <w:pStyle w:val="BodyText"/>
      </w:pPr>
      <w:r>
        <w:t xml:space="preserve">Внутренняя СМ у всех частей речи количественно значительно преобладает над внешней.</w:t>
      </w:r>
    </w:p>
    <w:p>
      <w:pPr>
        <w:pStyle w:val="BodyText"/>
      </w:pPr>
      <w:r>
        <w:t xml:space="preserve">3. Ассоциативная СМ (III степень). СМ формируется на базе потенциальных сем или на ассоциативных связях сравниваемых явлений. Во многих случаях установить четкую семантическую связь невозможно, поскольку мотиватор может быть связан с мотивированным словом «не через отдельный компонент лексического значения, а скорее через ассоциацию, связанную со словом-мотиватором». Ассоциативная СМ базируется на четких, часто устойчивых ассоциациях. Важная роль в формировании семантики СМ принадлежит форманту: моргать ‘непроизвольно быстро опускать и поднимать веки и ресницы; мигать’ → проморгать ‘упустить, не заметить прозевать’. Переносное значение производного ассоциируется со следующей ситуацией: когда человек моргает, то в это мгновение не видит. Значение поддерживается семантикой словообразовательного типа (ср.: проглядеть, прозевать, прокараулить, пропустить).</w:t>
      </w:r>
    </w:p>
    <w:p>
      <w:pPr>
        <w:pStyle w:val="BodyText"/>
      </w:pPr>
      <w:r>
        <w:t xml:space="preserve">Данный тип метафор является самым многочисленным. Это вполне объяснимо, поскольку изменение морфологической структуры слова при межсловной метафоризации, а во многих случаях и частеречного статуса, способствует в большинстве случаев значительному отрыву семантики производного от семантики производящего. Ассоциативная связь дает больше преимуществ для развития метафорической мотивации. Образование внешней и внутренней СМ ограничено сходством двух понятий, тогда как ассоциативная СМ испытывает наименьшее количество ограничений: все, что входит в ассоциативное поле слова (импликационал), может стать основой метафоризации.</w:t>
      </w:r>
    </w:p>
    <w:p>
      <w:pPr>
        <w:pStyle w:val="BodyText"/>
      </w:pPr>
      <w:r>
        <w:t xml:space="preserve">4. Экспрессивная СМ (IV степень). Экспрессивная метафора образуется так же, как и ассоциативная, в результате актуализации ассоциативных и коннотативных признаков, однако, в отличие от ассоциативной СМ, характеризуется слабой, практически не ощутимой связью с мотивирующим; она всегда стилистически снижена и обладает яркой оценочностью. В формировании семантики экспрессивной СМ ведущая роль принадлежит форманту: резать ‘употребляется вместо многих глаголов для выражения быстрого, энергичного действия’ (прост.) → нарезаться ‘напиться пьяным’ (прост.). Семантическая связь с производящим практически не ощущается, смысловая нагрузка падает на формант – конфикс на-…-ся (ср.: напиться, налимониться, надраться, нажраться, напороться): Сосед мой вчера опять к вечеру нарезался и буянил (С. Борисов).</w:t>
      </w:r>
    </w:p>
    <w:p>
      <w:pPr>
        <w:pStyle w:val="BodyText"/>
      </w:pPr>
      <w:r>
        <w:t xml:space="preserve">Экспрессивная СМ самая малочисленная из всех типов словообразовательных метафор, она распространена в основном в сфере глагольной лексики и практически не свойственна именным частям речи. При этом лексическая экспрессивная метафора у именных частей речи – более распространенное явление. В основном это грубые бранные обозначения человека и ярко выраженные оценочные наименования предметов: свинья, скотина, сука, собака, дерьмо, отстой и др.</w:t>
      </w:r>
    </w:p>
    <w:p>
      <w:pPr>
        <w:pStyle w:val="BodyText"/>
      </w:pPr>
      <w:r>
        <w:t xml:space="preserve">Предлагаемая классификация носит условный характер в той мере, в какой условны все классификации, ограничивающие объект описания определенными рамками. При построении же семантической классификации исследователь во многом опирается на свой личный филологический опыт и языковое чутье. Нами обнаружены единицы промежуточного, «межступенчатого» характера, однако они квалифицировались с учетом семантического «перевеса» (пусть незначительного) в ту или иную сторону, т.е. тяготения к какому-либо типу СМ – в этом случае, естественно, в наибольшей степени проявляется субъективный фактор.</w:t>
      </w:r>
    </w:p>
    <w:p>
      <w:pPr>
        <w:pStyle w:val="BodyText"/>
      </w:pPr>
      <w:r>
        <w:t xml:space="preserve">Мы сознательно ограничиваем себя данными четырьмя типами СМ, поскольку более детальная классификация, во-первых, заставит нас и дальше выделять все более мелкие подтипы и разновидности, т.е. выстраивать очень сложную (и возможно запутанную) рубрикацию, что превратится в самоцель, а, во-вторых, дальнейшая задача нашего исследования видится нам в другом – представив систему типов словообразовательных метафор через наиболее яркие случаи, выявить основные особенности этих типов, их различное «поведение» в лексико-семантическом пространстве языка.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2026-04-27T19:12:55Z</dcterms:created>
  <dcterms:modified xsi:type="dcterms:W3CDTF">2026-04-27T19:12:55Z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