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709"/>
        <w:jc w:val="both"/>
      </w:pPr>
      <w:r>
        <w:rPr>
          <w:rFonts w:ascii="Times New Roman" w:hAnsi="Times New Roman"/>
          <w:sz w:val="28"/>
        </w:rPr>
        <w:t>Сопоставление понятий «текст» и «дискурс» показало, что одним из важнейших категориальных свойств дискурса является его способность порождать новый смысл, неаддитивный семантике составляющих его языковых единиц. Его смыслопорождающая способность обусловливается тем, что в отличие от актуального высказывания дискурс состоит из элементов ранее произведенных дискурсов. Главным условием его формирования является интердискурс, а функционирование дискурса по отношению к нему самому обеспечивается интер- и интрадискурсом. При этом происходит нейтрализация субъективных смыслов и образование так называемого бессубъектного дискурса. С одной стороны, субъект, «подавляется» интер- и интрадискурсом, а с другой – принимает дискурс как свое собственное произведение, забывая, что в нем присутствует интердискурс.</w:t>
      </w:r>
    </w:p>
    <w:p>
      <w:pPr>
        <w:spacing w:line="360" w:lineRule="auto" w:after="0"/>
        <w:ind w:firstLine="709"/>
        <w:jc w:val="both"/>
      </w:pPr>
      <w:r>
        <w:rPr>
          <w:rFonts w:ascii="Times New Roman" w:hAnsi="Times New Roman"/>
          <w:sz w:val="28"/>
        </w:rPr>
        <w:t>Сложные смысловые конфигурации, нуждающиеся в разнообразных средствах вторичного знакообозначения, зарождаются в глубинных пластах дискурса. Именно здесь при наличии необходимых условий обостряются противоречия между структурообразующими дискурс факторами, в результате чего высекаются первые искры лингвокреативного стимулирования процессов вторичного семиозиса.</w:t>
      </w:r>
    </w:p>
    <w:p>
      <w:pPr>
        <w:spacing w:line="360" w:lineRule="auto" w:after="0"/>
        <w:ind w:firstLine="709"/>
        <w:jc w:val="both"/>
      </w:pPr>
      <w:r>
        <w:rPr>
          <w:rFonts w:ascii="Times New Roman" w:hAnsi="Times New Roman"/>
          <w:sz w:val="28"/>
        </w:rPr>
        <w:t>Такого рода противоречия обнаруживаются как между лингвистическими и экстралингвистическими механизмами структурирования дискурса, так и внутри них. К внешнему противодействию относятся причины актуализации языковых или внеязыковых стимулов «жизни» дискурса. Внутренние же противоречия буквально пронизывают языковую семантику, активно участвующую в конституировании смыслообразующего дискурса. Эти противоречия предопределили появление в лингвистике различных семантических теорий – «отражательной», релятивной и формально-логической. Согласно первой смысловое содержание дискурса обусловливается интеграцией отображенных в сознании предметов номинации в соответствии с задачами коммуникативного акта. Релятивная теория обращает внимание на второй этап дискурсии – моделирование различных отношений как между вербализованными, так и внеязыковыми предметами мысли.</w:t>
      </w:r>
    </w:p>
    <w:p>
      <w:pPr>
        <w:spacing w:line="360" w:lineRule="auto" w:after="0"/>
        <w:ind w:firstLine="709"/>
        <w:jc w:val="both"/>
      </w:pPr>
      <w:r>
        <w:rPr>
          <w:rFonts w:ascii="Times New Roman" w:hAnsi="Times New Roman"/>
          <w:sz w:val="28"/>
        </w:rPr>
        <w:t>Формально-логическая концепция, находясь между хомскианским генеративизмом и теорией речевых актов, снабжает и укрепляет мысль о креативных возможностях дискурса идеями субъектно-объектного речепорождения и необходимости учитывать внешние (социокультурные и прагматические) условия общения. Роль и значение каждого из названных аспектов в конституировании дискурса зависит, разумеется, от понимания природы и сущности самого дискурса. Первый аспект ставит дискурс в подчинение языку, который своей семантикой в таком случае должен определять смысловое содержание дискурса. Второй исходит из представлений о дискурсе как сетке коммуникативнопрагматических отношений, а третий рассматривает дискурс как смыслопорождающее устройство. Ущербность каждого из этих подходов очевидна, поскольку ни один из них не отвечает комплексному осмыслению дискурса как речемышления, погруженного в жизнь. В них наблюдается недопустимая абсолютизация одной из частей понятия «дискурс»: или текста, или его внешнего окружения. В первом случае основой дискурса считается текст, а его внешний контекст – сопровождающим фоном. Во втором случае все наоборот. На самом же деле, и семантика текста, и социокультурные условия текстообразования – обязательные компоненты смыслового содержания дискурса.</w:t>
      </w:r>
    </w:p>
    <w:p>
      <w:pPr>
        <w:spacing w:line="360" w:lineRule="auto" w:after="0"/>
        <w:ind w:firstLine="709"/>
        <w:jc w:val="both"/>
      </w:pPr>
      <w:r>
        <w:rPr>
          <w:rFonts w:ascii="Times New Roman" w:hAnsi="Times New Roman"/>
          <w:sz w:val="28"/>
        </w:rPr>
        <w:t>Все многообразие взаимодействия человека с миром дискурса достаточно емко отражено в известном суждении Ю.Н. Караулова: «За каждым текстом [продуктом дискурса – Н.А.] стоит языковая личность, владеющая системой языка». Не менее выразительно и справедливо звучит его перифразирование в устах К.Ф. Седова: «за каждой языковой личностью стоит множество производимых ею дискурсов».</w:t>
      </w:r>
    </w:p>
    <w:p>
      <w:pPr>
        <w:spacing w:line="360" w:lineRule="auto" w:after="0"/>
        <w:ind w:firstLine="709"/>
        <w:jc w:val="both"/>
      </w:pPr>
      <w:r>
        <w:rPr>
          <w:rFonts w:ascii="Times New Roman" w:hAnsi="Times New Roman"/>
          <w:sz w:val="28"/>
        </w:rPr>
        <w:t>Однако для осмысления роли дискурсивного мышления в образовании знаков вторичной номинации важно рассмотреть не столько процесс взаимодействия языковой личности с дискурсами, сколько взаимодействие с дискурсами всего этнокультурного сообщества, которое конкретно реализуется в речедеятельности каждого человека – члена данного сообщества. Вспомним релеевскую фразу, ассоциативно связанной с известной дискурсивной ситуацией: «Куда ты ведешь нас? Не видно ни зги» – Сусанину с сердцем Вскричали враги (К. Рылеев).</w:t>
      </w:r>
    </w:p>
    <w:p>
      <w:pPr>
        <w:spacing w:line="360" w:lineRule="auto" w:after="0"/>
        <w:ind w:firstLine="709"/>
        <w:jc w:val="both"/>
      </w:pPr>
      <w:r>
        <w:rPr>
          <w:rFonts w:ascii="Times New Roman" w:hAnsi="Times New Roman"/>
          <w:sz w:val="28"/>
        </w:rPr>
        <w:t>Идиома не видно ни зги могла бы быть вложена в уста любого говорящего по-русски, находящегося под магическим воздействием своего этноязыкового сознания, несмотря на то, что в ней содержится непонятное слово зга. Это старинное слово образовано, как полагают, от слова стегá ‘стежка, дорожка, тропинка’. Значит, буквальный смысл выражения – ‘не видно даже тропинки’. А вот еще одно толкование: зга – металлическое колечко на дуге лошади, к которому прикрепляется повод. И если уж его не было видно, то, значит, стоит на дворе тьма кромешная. Затем, видимо, возник вторичный смысл: зга – ‘темень, потемки, темнота’. Второе значение ‘кроха, капля, искра, малость чего-л.’ (В.И. Даль).</w:t>
      </w:r>
    </w:p>
    <w:p>
      <w:pPr>
        <w:spacing w:line="360" w:lineRule="auto" w:after="0"/>
        <w:ind w:firstLine="709"/>
        <w:jc w:val="both"/>
      </w:pPr>
      <w:r>
        <w:rPr>
          <w:rFonts w:ascii="Times New Roman" w:hAnsi="Times New Roman"/>
          <w:sz w:val="28"/>
        </w:rPr>
        <w:t>Правда, для того, чтобы видеть дорогу и не было особой необходимости смотреть на нее через такую кроху, как зга. А вот чтобы распрячь и запрячь коня в темную ночь или в ненастье, ее нужно видеть. В такой ситуации немудрено было услышать ворчанье кучера: «Ну, темень (потемки) – зги даже не видно». Так закрепилось в этноязыковом сознание выражение ни зги не видно в значении ‘абсолютно ничего не видно, очень темно’.</w:t>
      </w:r>
    </w:p>
    <w:p>
      <w:pPr>
        <w:spacing w:line="360" w:lineRule="auto" w:after="0"/>
        <w:ind w:firstLine="709"/>
        <w:jc w:val="both"/>
      </w:pPr>
      <w:r>
        <w:rPr>
          <w:rFonts w:ascii="Times New Roman" w:hAnsi="Times New Roman"/>
          <w:sz w:val="28"/>
        </w:rPr>
        <w:t>Речь идет, собственно, не о противопоставлении отдельного носителя языка сообществу, а о том, как личностные смыслы говорящего становятся коллективными. Как нам представляется, процесс такого преобразования обеспечивается несколькими факторами: во-первых, принадлежностью говорящего к определенному лингвокультурному сообществу, что достаточно жестко ограничивает его субъективную свободу выбора когнитивных моделей и языковых средств их представления в языковом сознании; он вынужден думать, воспринимать, понимать и вербализовывать действительность в рамках определенного социокультурного опыта; во-вторых, отдельные субъекты речи пользуются единой для всех когнитивной базой; в-третьих, говорящий всегда находится в плену коллективного языкового сознания и дискурсивных стереотипов.</w:t>
      </w:r>
    </w:p>
    <w:p>
      <w:pPr>
        <w:spacing w:line="360" w:lineRule="auto" w:after="0"/>
        <w:ind w:firstLine="709"/>
        <w:jc w:val="both"/>
      </w:pPr>
      <w:r>
        <w:rPr>
          <w:rFonts w:ascii="Times New Roman" w:hAnsi="Times New Roman"/>
          <w:sz w:val="28"/>
        </w:rPr>
        <w:t>Действительно, субъект речемыслительной деятельности зачастую не только не знает конкретной схемы вербализации замысла, но и смутно осознает отдельные его элементы. Поэтому «ход превращения мысли в слово, – согласимся с К.Ф. Седовым, – предстает перед нами как драматический конфликт между личностными смыслами и значениями, которые навязывает говорящему национальный язык». Кроме языкового сознания (системы языковых значений), в это противоборство подключаются стереотипные схемы построения стандартных дискурсов, «сила ассоциативных связей между словами», а также между прецедентными коммуникативно-прагматическими ситуациями и клишированными речевыми моделями.</w:t>
      </w:r>
    </w:p>
    <w:p>
      <w:pPr>
        <w:spacing w:line="360" w:lineRule="auto" w:after="0"/>
        <w:ind w:firstLine="709"/>
        <w:jc w:val="both"/>
      </w:pPr>
      <w:r>
        <w:rPr>
          <w:rFonts w:ascii="Times New Roman" w:hAnsi="Times New Roman"/>
          <w:sz w:val="28"/>
        </w:rPr>
        <w:t>Индивидуально-личностные смыслы говорящего, таким образом, вместо свободно конструируемого оязыковления вынужден преодолевать тройной заслон: а) соответствовать этнокультурным эталонам, б) формироваться на общей для всего сообщества когнитивной базе и в) подчиняться диктату этноязыкового сознания, системе значений и законам дискурсивной стратегии. В итоге речевые интенции вступают в «конфликт» с существующими в системе языка средствами выражения мысли. Мысль нередко деформируется до неузнаваемости: 1) или сама перерождается, приобретая имплицитное содержание, скрывается за уже устоявшимися языковыми структурами; 2) или, оставаясь без изменений, порождает нестандартные сочетания слов, которые не имеют прямых денотативных связей и с выражаемыми когнитивными структурами соотносятся исключительно ассоциативно. В первом случае «дискурс, скользящий по потоку насыщенного раствора языковых ассоциаций, где речь ведет серия стереотипных моделей, просто маскирует банальность», стереотипность прецедентных феноменов. Так, чтобы выразить когнитивную структуру «начинать действовать откровенно, переставая скрывать свои замыслы, планы, намерения» используется дискурсивно-прецендентное выражение играть с открытыми картами, трансформируя его в глагольное сочетание раскрывать (открывать) &lt; свои &gt; карты кому, перед кем. Во втором случае возникают алогические сочетания типа кошки скребут (заскребли) на душе у к о г о, положить (класть) зубы на полку.</w:t>
      </w:r>
    </w:p>
    <w:p>
      <w:pPr>
        <w:spacing w:line="360" w:lineRule="auto" w:after="0"/>
        <w:ind w:firstLine="709"/>
        <w:jc w:val="both"/>
      </w:pPr>
      <w:r>
        <w:rPr>
          <w:rFonts w:ascii="Times New Roman" w:hAnsi="Times New Roman"/>
          <w:sz w:val="28"/>
        </w:rPr>
        <w:t>Перерождение первичной мысли в процессе ее вербализации обусловливается тем, что замысел, формируя смысловую структуру (проходя процесс смыслообразовательного структурирования), подвергается преобразованию под воздействием самых разных ассоциаций «предметных» смыслов. В результате возникают когнитивные структуры самых разнообразных конфигураций. В итоге подбирается та когнитивная структура, которая наибольше соответствует данной коммуникативно-прагматической ситуации.</w:t>
      </w:r>
    </w:p>
    <w:p>
      <w:pPr>
        <w:spacing w:line="360" w:lineRule="auto" w:after="0"/>
        <w:ind w:firstLine="709"/>
        <w:jc w:val="both"/>
      </w:pPr>
      <w:r>
        <w:rPr>
          <w:rFonts w:ascii="Times New Roman" w:hAnsi="Times New Roman"/>
          <w:sz w:val="28"/>
        </w:rPr>
        <w:t>На следующем – формулирующем – этапе на отобранную когнитивную структуру накладывается структура из сферы языкового сознания, получившая в психологии название «вербальной сети». Вербальные сети также избирательны: структурные связи между элементами оказываются достаточно гибкими. Между словами такой структурной сети образуют зоны «сгущения», «разряжения», множественные пересечения и др.. В таких зонах возникает особая лингвокреативная синергетика. Ее источник – интенсивное взаимодействие двух структур: когнитивной и дискурсивной. Первая, подпитываясь фантомами замысла, пытается преодолеть сопротивление вербального материала (вербальной сети), а вербальные сети, отягощенные денотативными связями, стремятся разместить когнитивные смыслы в прокрустово ложе известных языку моделей и схем. В результате ассоциативного мышления изменяются и первичные смыслы, и словесные конфигурации, их вербализующие. «В результате развития связей между словесными сигналами создается новый уровень обобщения и отвлечения с помощью слова. Появляются слова, значения которых определяются не через отнесение к непосредственным впечатлениям, а через связь с другими словами». Ср., например, замысел передать (выразить) состояние очарования или влюбленности и его вербализацию словесной структурой «не могу не смотреть на что-л. (не любоваться) чем-л.». Ассоциативно-смысловая синтагматика порождает новые словесные структуры, которые образно и экспрессивно формируют в языковом сознании представление о влюбленности или восхищении чем-либо; не отрывать [не отводить] глаз от кого, от чего; нельзя глаз отвести от кого, от чего; не в силах оторвать глаз от кого, от чего ‘не отрываясь, смотреть на когол. или что-л.’, ‘быть не в состоянии перестать смотреть на кого-л. или на что-л.’ Использование той или иной вербально-ассоциативной структуры зависит от коммуникативно-прагматической ситуации повседневного общения. Иными словами, способ и характер вербализации когнитивных структур определяется типом дискурсивного мышления, имеющего изначально социокультурную основу.</w:t>
      </w:r>
    </w:p>
    <w:p>
      <w:pPr>
        <w:spacing w:line="360" w:lineRule="auto" w:after="0"/>
        <w:ind w:firstLine="709"/>
        <w:jc w:val="both"/>
      </w:pPr>
      <w:r>
        <w:rPr>
          <w:rFonts w:ascii="Times New Roman" w:hAnsi="Times New Roman"/>
          <w:sz w:val="28"/>
        </w:rPr>
        <w:t>Различные варианты и вариации разворачивания замысла в вербальные структуру представления знаний отражают многообразие фреймовой организации коммуникативно-прагматических стереотипов. Следовательно, стереотипное дискурсивное мышление и, шире, дискурсивное поведение следует рассматривать как способ самовыражения этноязыковой личности типичного представителя своего культурно-языкового сообщества.</w:t>
      </w:r>
    </w:p>
    <w:p>
      <w:pPr>
        <w:spacing w:line="360" w:lineRule="auto" w:after="0"/>
        <w:ind w:firstLine="709"/>
        <w:jc w:val="both"/>
      </w:pPr>
      <w:r>
        <w:rPr>
          <w:rFonts w:ascii="Times New Roman" w:hAnsi="Times New Roman"/>
          <w:sz w:val="28"/>
        </w:rPr>
        <w:t>Мы рассматриваем дискурс как особую форму существования языка, способ выражения ментальности народа. Подобный подход ориентирует на более широкое видение дискурсивного существования языка, чем его отождествление с «живой речью». Следует согласиться с У. Чейфом в том, что «дискурс многосторонен, и достаточно очевидна ограниченность любых попыток отразить его моделирование, сведя дискурс к одному или двум измерениям…».</w:t>
      </w:r>
    </w:p>
    <w:p>
      <w:pPr>
        <w:spacing w:line="360" w:lineRule="auto" w:after="0"/>
        <w:ind w:firstLine="709"/>
        <w:jc w:val="both"/>
      </w:pPr>
      <w:r>
        <w:rPr>
          <w:rFonts w:ascii="Times New Roman" w:hAnsi="Times New Roman"/>
          <w:sz w:val="28"/>
        </w:rPr>
        <w:t>Лингвокультурологическая аура смыслообразующего дискурса проявляется в нескольких ракурсах и направлениях его отношений с реальным бытием человека: а) через связь дискурса с социокультурной деятельностью, б) через связь дискурса с текстами, обнаруживающую интеракциональной характер первого и статичность второго; в) через связь дискурса с реальным речевым общением в различных культурно-когнитивных контекста.</w:t>
      </w:r>
    </w:p>
    <w:p>
      <w:pPr>
        <w:spacing w:line="360" w:lineRule="auto" w:after="0"/>
        <w:ind w:firstLine="709"/>
        <w:jc w:val="both"/>
      </w:pPr>
      <w:r>
        <w:rPr>
          <w:rFonts w:ascii="Times New Roman" w:hAnsi="Times New Roman"/>
          <w:sz w:val="28"/>
        </w:rPr>
        <w:t>В первом аспекте (а) дискурс может быть интерпретирован как особый «язык в языке», моделирующий ментальность «возможного мира» и изображающий человека в одном из возможных миров. Согласно второму направлению (б) дискурс значительно шире и глубже текста, поскольку текст – единица дискурса: он одновременно и семиотизация культурно-исторического события, и речевая деятельность, ее продукт (текст). В третьем ракурсе (в) дискурс предстает как интенциональное образование, в составе которого знаки вторичной номинации прирастают новыми смыслами, исходящими от коммуникативно-прагматических намерений и целей речемыслительной деятельности, а также в процессе «исчезновения авторства» формируется идеальный (усредненный) адресат, что создает необходимые условия для порождения бессубъектного дискурса.</w:t>
      </w:r>
    </w:p>
    <w:p>
      <w:pPr>
        <w:spacing w:line="360" w:lineRule="auto" w:after="0"/>
        <w:ind w:firstLine="709"/>
        <w:jc w:val="both"/>
      </w:pPr>
      <w:r>
        <w:rPr>
          <w:rFonts w:ascii="Times New Roman" w:hAnsi="Times New Roman"/>
          <w:sz w:val="28"/>
        </w:rPr>
        <w:t>Введение в культурологию понятия «бессубъектный дискурс» обосновано М. М. Бахтиным в его «Философии поступка», где проводится грань между живым уникальным событием (актом свершающегося бытия) и пространством объективированной культуры, между миром жизни и миром культуры. Событие совершаемого бытия рассматривается как творческое деяние человека; поэтому оно субъектно, а его содержание пронизано уникальным переживанием, которое способно выплеснуть из себя поэтические образы в пространство «оязыковленной» культуры. «Сжатая энергия» таких поэтических (художественных) образов как раз и порождает дискурсивные идиомы. Экстралингвистической основой вторичного лингвосемиозиса на базе «сжатой энергии» дискурса служит поступок, который, по концепции М.М. Бахтина, больше чем шаг из единственности переживания к объективации. Поступок самодостаточен. Он не нуждается в проявлении. «Все, даже мысль и чувство, есть мой поступок», – пишет М.М. Бахтин. Поступок больше чем поведение субъекта. Когда есть поступок, в субъекте при нем уже нет строгой необходимости.</w:t>
      </w:r>
    </w:p>
    <w:p>
      <w:pPr>
        <w:spacing w:line="360" w:lineRule="auto" w:after="0"/>
        <w:ind w:firstLine="709"/>
        <w:jc w:val="both"/>
      </w:pPr>
      <w:r>
        <w:rPr>
          <w:rFonts w:ascii="Times New Roman" w:hAnsi="Times New Roman"/>
          <w:sz w:val="28"/>
        </w:rPr>
        <w:t>Понятие бессубъектного дискурса, как показывает О.Г. Ревзина,, находится в рамках одной парадигмы с разработанной Б.М. Гаспаровым лингвистикой языкового существования. Особую ценность для лингвокультурологического описания средств вторичной номинации приобретает понятие памяти как репродуктивной стратегии в языковом существовании, вводимого Б.М. Гаспаровым для разграничения «живой» субъектной речи и прецендентных высказываний, которые коммуникантами не производятся по схемам порождения речи, а воспроизводят как уже существующие в языковой памяти фрагменты известного дискурса. И, как утверждает П. Серио, такого рода репродуктивы «в более или менее скрытом виде покрывают все пространство языка». Следовательно, если субъектный дискурс находится во власти говорящего (у него есть автор, он синтагматичен (линеен) и производим), то бессубъектный дискурс определяет характер языкового сознания целого этнокультурного коллектива. Он анонимен, нелинеен и воспроизводим и даже синергетичен.</w:t>
      </w:r>
    </w:p>
    <w:p>
      <w:pPr>
        <w:spacing w:line="360" w:lineRule="auto" w:after="0"/>
        <w:ind w:firstLine="709"/>
        <w:jc w:val="both"/>
      </w:pPr>
      <w:r>
        <w:rPr>
          <w:rFonts w:ascii="Times New Roman" w:hAnsi="Times New Roman"/>
          <w:sz w:val="28"/>
        </w:rPr>
        <w:t>Парадигматичность бессубъектного дискурса сближает его с языком настолько, что он, по мнению О.Г. Ревзиной, сам занимает место языка» в дихотомии «язык – речь». Однако бессубъектный дискурс – это еще не знаковая лингвосистема, а, если вернуться к теории Б.М. Гаспарова, – способ языкового существования, или форма бытования языка, которая представлена на уровне этноязыкового сознания в виде речемыслительных стереотипов, с которыми соотносятся прецедентные знаки. Как нам представляется, бессубъектный дискурс образует промежуточное звено в трихотомии «язык – бессубъектный дискурс – речь». И в таком понимании его действительно можно назвать «языком в языке».</w:t>
      </w:r>
    </w:p>
    <w:p>
      <w:pPr>
        <w:spacing w:line="360" w:lineRule="auto" w:after="0"/>
        <w:ind w:firstLine="709"/>
        <w:jc w:val="both"/>
      </w:pPr>
      <w:r>
        <w:rPr>
          <w:rFonts w:ascii="Times New Roman" w:hAnsi="Times New Roman"/>
          <w:sz w:val="28"/>
        </w:rPr>
        <w:t>Как и язык, бессубъектный дискурс реализуется в речи. Единицей бессубъектного дискурса является дискурсивное высказывание, которое отличается от высказывания речевого по нескольким признакам.</w:t>
      </w:r>
    </w:p>
    <w:p>
      <w:pPr>
        <w:spacing w:line="360" w:lineRule="auto" w:after="0"/>
        <w:ind w:firstLine="709"/>
        <w:jc w:val="both"/>
      </w:pPr>
      <w:r>
        <w:rPr>
          <w:rFonts w:ascii="Times New Roman" w:hAnsi="Times New Roman"/>
          <w:sz w:val="28"/>
        </w:rPr>
        <w:t>1. Речевым высказываниям свойственны логические корреляции с конкретными пропозициональными структурами (суждениями о реалиях денотативной ситуации), т.е. они иконически вербализуют полный смысловой концептуальный набор компонентов пропозиции (актантов и ситуантов), в который входят: деятель, действие, инструмент, объект действия, время, место действия и т.п. Как известно, одна и та же пропозиция может быть передана разными речевыми высказываниями. Ср.: Ошибки неизбежны между смертными (Феогнид). Каждому человеку свойственно ошибаться (Цицерон). Ошибки свойственны людям (Сенека). Людям вообще свойственно ошибаться (М. СалтыковЩедрин) – «Человек имеет право на ошибку». И, наоборот, в одном речевом высказывании может содержаться несколько пропозиций. Дискурсивное высказывание, наоборот, лишено коррелятивной связи с конкретными пропорциями. Оно является инвариантным речемыслительным образованием, косвенно представляющим в этноязыковом сознании типовую пропозицию, служит средством неиконического выражения дискурсивно обусловленного концепта – собирательного мыслительного образа, отражающего обобщенно-целостный смысл соответствующего бессубъектного дискурса. Ср.: Человеку свойственно ошибаться (дискурсивное высказывание) и «невозможно сохранить ни с кем дружеских отношений, если сердиться за всякую ошибку друзей и близких» (бессубъектный дискурс).</w:t>
      </w:r>
    </w:p>
    <w:p>
      <w:pPr>
        <w:spacing w:line="360" w:lineRule="auto" w:after="0"/>
        <w:ind w:firstLine="709"/>
        <w:jc w:val="both"/>
      </w:pPr>
      <w:r>
        <w:rPr>
          <w:rFonts w:ascii="Times New Roman" w:hAnsi="Times New Roman"/>
          <w:sz w:val="28"/>
        </w:rPr>
        <w:t>2. Дискурсивное высказывание не тождественно таким речевым структурам, как фраза (= предложение) и речевой акт, от которых оно отличается и по объему, и по форме. Ср.: дискурсивное высказывание «Вольному воля» и фразу «Ты можешь поступать по своему усмотрению». Дискурсивное высказывание можно перевести в грамматически правильно построенное предложение (фразу). Речевой акт (клятва, молитва и т.п.) может состоять из нескольких речевых высказываний.</w:t>
      </w:r>
    </w:p>
    <w:p>
      <w:pPr>
        <w:spacing w:line="360" w:lineRule="auto" w:after="0"/>
        <w:ind w:firstLine="709"/>
        <w:jc w:val="both"/>
      </w:pPr>
      <w:r>
        <w:rPr>
          <w:rFonts w:ascii="Times New Roman" w:hAnsi="Times New Roman"/>
          <w:sz w:val="28"/>
        </w:rPr>
        <w:t>3. В отличие от речевого высказывания, коррелирующему во внеязыковой действительности с конкретной денотативной ситуацией, дискурсивное высказывание соотносится с типичной денотативной ситуацией. Дискурсивное высказывание в силу этого имеет асимметричное строение: означающее связано с дискурсивно обусловленным означаемым, т.е. означаемое здесь значительно шире суммы смыслового содержания компонентов означающего. Именно по этой причине означаемое дискурсивного высказывания требует лингвокультурной интерпретации.</w:t>
      </w:r>
    </w:p>
    <w:p>
      <w:pPr>
        <w:spacing w:line="360" w:lineRule="auto" w:after="0"/>
        <w:ind w:firstLine="709"/>
        <w:jc w:val="both"/>
      </w:pPr>
      <w:r>
        <w:rPr>
          <w:rFonts w:ascii="Times New Roman" w:hAnsi="Times New Roman"/>
          <w:sz w:val="28"/>
        </w:rPr>
        <w:t>Дискурсивные высказывания в бессубъектном дискурсе «живут своей жизнью», они могут повторяться, расщепляться, трансформироваться, перемещаться в поле дискурса, предаваться забвению. Поэтому лингвокультурологический анализ дискурсивного высказывания должен быть направлен не столько на то, что в нем сказано, сколько на то, какие трансформации с ним произошли, как оно использовалось в речемышлении и какие знаки вторичной номинации возникли на его основе. Последние являются не чем иным, как хранящими в памяти «монады языкового опыта» – результатом дискурсивно-когнитивной деятельности всего этноязыкового сообщества: квасной патриотизм ‘упрямая, тупая приверженность к бытовым мелочам национального быта’, кисейная барышня ‘изнеженный, не приспособленный к жизни человек’, кутить ‘проводить время в кутежах, в кутеже’ облапошить ‘обставить’.</w:t>
      </w:r>
    </w:p>
    <w:p>
      <w:pPr>
        <w:spacing w:line="360" w:lineRule="auto" w:after="0"/>
        <w:ind w:firstLine="709"/>
        <w:jc w:val="both"/>
      </w:pPr>
      <w:r>
        <w:rPr>
          <w:rFonts w:ascii="Times New Roman" w:hAnsi="Times New Roman"/>
          <w:sz w:val="28"/>
        </w:rPr>
        <w:t>Бессубъектно-дискурсивное происхождение знаков вторичной номинации обусловило их событийную семантику, в отличие от п р о п о з и т и в н о й (фактообразующей) семантики высказываний, образовавшихся в рамках субъектного дискурса. Концептообразовательные возможности дискурса обусловливаются самой его природой: образование дискурса обычно концентрируется вокруг некоторого общего понятия, в результате которого создается определенный смысловой контекст, включающий в себя информацию о субъекте(-ах) речемышления, объектах, обстоятельствах, о временных координатах. Элементы дискурса: события, их участники, перформативная информация и не-события (обстоятельства, сопровождающие события; фоновая информация; оценка события; информация, соотносящая дискурс с событием). За дискурсом, следовательно, стоит особый мир. Более того, по Ю.С. Степанову, дискурс – это один из «возможных миров» многосложной структуры.</w:t>
      </w:r>
    </w:p>
    <w:p>
      <w:pPr>
        <w:spacing w:line="360" w:lineRule="auto" w:after="0"/>
        <w:ind w:firstLine="709"/>
        <w:jc w:val="both"/>
      </w:pPr>
      <w:r>
        <w:rPr>
          <w:rFonts w:ascii="Times New Roman" w:hAnsi="Times New Roman"/>
          <w:sz w:val="28"/>
        </w:rPr>
        <w:t>Таким образом, изначальными моментами концептуальной организации знаков вторичной номинации выступают не столько единичные денотаты и сигнификаты, сколько дискурсивно-мыслительные процессы этнокультурного характера.</w:t>
      </w:r>
    </w:p>
    <w:p>
      <w:pPr>
        <w:spacing w:line="360" w:lineRule="auto" w:after="0"/>
        <w:ind w:firstLine="709"/>
        <w:jc w:val="both"/>
      </w:pPr>
      <w:r>
        <w:rPr>
          <w:rFonts w:ascii="Times New Roman" w:hAnsi="Times New Roman"/>
          <w:sz w:val="28"/>
        </w:rPr>
        <w:t>Дискурсивное мышление порождает и закрепляет в этноязыковом сознании устойчивые воспроизводимые знаки вторичного образования, в содержании которых сфокусировались разноаспектные смыслы, продуцируемые вертикальным контекстом, синтагматическими связями, прагматикой и социокультурной значимостью производящего дискурса. Такого рода речемыслительная онтология дискурсивной идиоматики предполагает осмысление лингвокультурных аспектов языкового сознания, в долговременной памяти которого удерживаются, интерпретируются и семантически обогащаются дискурсивные идиомы – экспрессивно-образные элементы производящего дискурса.</w:t>
      </w:r>
    </w:p>
    <w:p>
      <w:pPr>
        <w:spacing w:line="360" w:lineRule="auto" w:after="0"/>
        <w:ind w:firstLine="709"/>
        <w:jc w:val="both"/>
      </w:pPr>
      <w:r>
        <w:rPr>
          <w:rFonts w:ascii="Times New Roman" w:hAnsi="Times New Roman"/>
          <w:sz w:val="28"/>
        </w:rPr>
        <w:t>Собственно, этот аспект языкового сознания можно было бы назвать дискурсивно-идеальным, поскольку его культурно значимыми «атомами» выступают не столько понятия, пусть даже обыденные, сколько события, ситуации, обстоятельства, эпизоды в их социальном и коммуникативнопрагматическом ракурсе.</w:t>
      </w:r>
    </w:p>
    <w:p>
      <w:pPr>
        <w:spacing w:line="360" w:lineRule="auto" w:after="0"/>
        <w:ind w:firstLine="709"/>
        <w:jc w:val="both"/>
      </w:pPr>
      <w:r>
        <w:rPr>
          <w:rFonts w:ascii="Times New Roman" w:hAnsi="Times New Roman"/>
          <w:sz w:val="28"/>
        </w:rPr>
        <w:t>На втором этапе семиозиса дискурсивной идиоматики происходит образование прецедентных текстов, порождающих знаки непрямой референции и определяющих их роль и место в коммуникации. Непрямая референция должна не просто кивать в сторону чего-то иного, могущего быть выраженным также и прямо, но должна оставаться единственным способом намекнуть на недоступное схватыванию, на постоянно ускользающее. Поэтому «достаточно несложно бывает сказать, как и с помощью чего непрямая референция разворачивается, но совершенно бессмысленно спрашивать, к чему именно она отсылает – ведь даже сама возможность ответа на такой вопрос превратила бы ее в прямую референцию».</w:t>
      </w:r>
    </w:p>
    <w:p>
      <w:pPr>
        <w:spacing w:line="360" w:lineRule="auto" w:after="0"/>
        <w:ind w:firstLine="709"/>
        <w:jc w:val="both"/>
      </w:pPr>
      <w:r>
        <w:rPr>
          <w:rFonts w:ascii="Times New Roman" w:hAnsi="Times New Roman"/>
          <w:sz w:val="28"/>
        </w:rPr>
        <w:t>Третий этап представляет собой идиоматизацию прецедентных контекстов (развитие асимметрического дуализма в их билатеральной структуре, нарушение симметрии между их означаемыми и означающими), на базе которых формируются ономатопоэтические концепты – когнитивная основа образной семантики знаков непрямой номинации.</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