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76" w:lineRule="auto"/>
        <w:ind w:firstLine="708"/>
        <w:jc w:val="both"/>
      </w:pPr>
      <w:r>
        <w:rPr>
          <w:rFonts w:ascii="Times New Roman" w:hAnsi="Times New Roman" w:eastAsia="Times New Roman"/>
          <w:sz w:val="28"/>
        </w:rPr>
        <w:t>В соответствии с принципами функционально-деятельностного подхода к анализу текстов СМИ изучение дискурсивной среды связано с выявлением коммуникативных намерений автора-журналиста и способов их объективации, ментальных представлений субъектов массово-коммуникативного общения, закономерностей в обработке концептуальной информации и аксиологическом маркировании. Определение прагматических свойств использующихся в СМИ средств русской речи возможно путем сопряжения достижений риторико-стилистических и дискурсивно-когнитивных исследований. В данном отношении одним из перспективных направлений представляется изучение элокутивных свойств современной российской публицистики.</w:t>
      </w:r>
    </w:p>
    <w:p>
      <w:pPr>
        <w:spacing w:after="0" w:line="276" w:lineRule="auto"/>
        <w:ind w:firstLine="708"/>
        <w:jc w:val="both"/>
      </w:pPr>
      <w:r>
        <w:rPr>
          <w:rFonts w:ascii="Times New Roman" w:hAnsi="Times New Roman" w:eastAsia="Times New Roman"/>
          <w:sz w:val="28"/>
        </w:rPr>
        <w:t>Элокутивная организация дискурса предполагает интенционально обусловленное использование единиц системы языка, способов речевого выражения в качестве структурно-содержательных элементов, обеспечивающих рецепцию текста, адекватную прагматическим установкам. Прагматической интенсификации публицистического дискурса служат элокутивные средства — изобразительно-выразительные средства вербального выражения замысла, преследующие заданные коммуникативные цели, намерения, установки (обладающие иллокутивной силой) и вызывающие ожидаемый результат речевого воздействия (перлокутивный эффект).</w:t>
      </w:r>
    </w:p>
    <w:p>
      <w:pPr>
        <w:spacing w:after="0" w:line="276" w:lineRule="auto"/>
        <w:ind w:firstLine="708"/>
        <w:jc w:val="both"/>
      </w:pPr>
      <w:r>
        <w:rPr>
          <w:rFonts w:ascii="Times New Roman" w:hAnsi="Times New Roman" w:eastAsia="Times New Roman"/>
          <w:sz w:val="28"/>
        </w:rPr>
        <w:t>Элокутивный потенциал публицистического дискурса среди прочих факторов обусловлен возможностью творческого использования приемов фигуральной речи, необходимого для адекватной реализации интенциональности текста. Среди способов создания фигуральной речи выделяются приемы использования фрагментов прецедентных текстов, повторения одноструктурных элементов, реализации многозначности, игры на внутренней форме и экспрессивной деривации; риторического вопрошения и восклицания, искусственной книжности, создания национального колорита; неточного словоупотребления, использования уточняющих слов и оборотов, противопоставления, неправдоподобного преувеличения и преуменьшения.</w:t>
      </w:r>
    </w:p>
    <w:p>
      <w:pPr>
        <w:spacing w:after="0" w:line="276" w:lineRule="auto"/>
        <w:ind w:firstLine="708"/>
        <w:jc w:val="both"/>
      </w:pPr>
      <w:r>
        <w:rPr>
          <w:rFonts w:ascii="Times New Roman" w:hAnsi="Times New Roman" w:eastAsia="Times New Roman"/>
          <w:sz w:val="28"/>
        </w:rPr>
        <w:t>Элокутивные средства демонстрируют не только лингвокреативный потенциал публицистического дискурса в его как аналитической, так и информационной разновидностях, но и тенденцию к стандартизации изложения материала. Широчайшие возможности творческого поиска не исключают наличия элокутивных констант — определенных стандартных изобразительно-выразительных речевых средств. Иными словами, элокутивными константами могут быть признаны отдельные элокутивные средства, смысловая аранжировка которых варьируется в зависимости от денотативно-референтной основы газетного текста. В качестве элокутивных констант могут быть рассмотрены и типизированные сочетания, комбинации фигур речи, взаимодействующих в пределах публицистического микроконтекста.</w:t>
      </w:r>
    </w:p>
    <w:p>
      <w:pPr>
        <w:spacing w:after="0" w:line="276" w:lineRule="auto"/>
        <w:ind w:firstLine="708"/>
        <w:jc w:val="both"/>
      </w:pPr>
      <w:r>
        <w:rPr>
          <w:rFonts w:ascii="Times New Roman" w:hAnsi="Times New Roman" w:eastAsia="Times New Roman"/>
          <w:sz w:val="28"/>
        </w:rPr>
        <w:t>Необходимо отметить, что выявление характерных, частотных элокутивных средств публицистического дискурса возможно при условии накопления значительной эмпирической базы. Наблюдения относительно элокутивных констант публицистического дискурса основываются на анализе авторской картотеки объемом более 20 тысяч микроконтекстов, на примере которых показана специфика использования элокутивных средств. Материал исследования составили тексты газетной публицистики, выбранные из печатных изданий всероссийского масштаба («Аргументы и факты», «Известия», «Комсомольская правда», «Московский комсомолец», «Новая газета», «Совершенно секретно», «Литературная газета» и др.), а также региональных изданий г. Волгограда.</w:t>
      </w:r>
    </w:p>
    <w:p>
      <w:pPr>
        <w:spacing w:after="0" w:line="276" w:lineRule="auto"/>
        <w:ind w:firstLine="708"/>
        <w:jc w:val="both"/>
      </w:pPr>
      <w:r>
        <w:rPr>
          <w:rFonts w:ascii="Times New Roman" w:hAnsi="Times New Roman" w:eastAsia="Times New Roman"/>
          <w:sz w:val="28"/>
        </w:rPr>
        <w:t>В качестве примера приведем элокутивные константы в области фигур контраста. Анализ фактического материала убеждает, что одной из наиболее частотных пар антонимов оказывается оппозиция большой — маленький. Ср.: Большие проблемы маленького человека; Маленькие проблемы большой страны; Большие люди — малой родине; Большая помощь малому бизнесу; Маленькая история о большом контрафакте; Маленькие цены на большие покупки; «Маленький человек» против большой бюрократии. Зачастую отмеченный прием противопоставления используется в заголовках публицистических материалов о детях: Малый формат большой победы; Большие успехи «маленького» спорта; Большие проблемы маленького сердца; Маленькие жертвы большой дороги; Большие трагедии маленьких жизней.</w:t>
      </w:r>
    </w:p>
    <w:p>
      <w:pPr>
        <w:spacing w:after="0" w:line="276" w:lineRule="auto"/>
        <w:ind w:firstLine="708"/>
        <w:jc w:val="both"/>
      </w:pPr>
      <w:r>
        <w:rPr>
          <w:rFonts w:ascii="Times New Roman" w:hAnsi="Times New Roman" w:eastAsia="Times New Roman"/>
          <w:sz w:val="28"/>
        </w:rPr>
        <w:t>Растиражированный, штампованный характер приобретают в газетной публицистике приемы использования фрагментов прецедентных текстов. Ср. следующие фигуры интертекста: Унесенные ураганом; Унесенные островом; Унесенные властью. Где бы Россия не пыталась решить чужие проблемы, там появляется человек с ружьем; Надо бояться человека с ружьем в душе. Есть такая профессия — корпоративная разведка; Есть такая профессия — деньги собирать. На Тихорецкую отправился состав преступления; Вагончик тронется, тариф повысится; Вагончик тронется, и жизнь наладится!</w:t>
      </w:r>
    </w:p>
    <w:p>
      <w:pPr>
        <w:spacing w:after="0" w:line="276" w:lineRule="auto"/>
        <w:ind w:firstLine="708"/>
        <w:jc w:val="both"/>
      </w:pPr>
      <w:r>
        <w:rPr>
          <w:rFonts w:ascii="Times New Roman" w:hAnsi="Times New Roman" w:eastAsia="Times New Roman"/>
          <w:sz w:val="28"/>
        </w:rPr>
        <w:t>Отчетливо прослеживаемая тенденция к использованию шаблонных речевых «заготовок» предопределяется спецификой текстообразования в условиях массовой коммуникации. При этом изменения дискурсивных ситуаций в публицистическом дискурсе динамичны, так как связаны с функциональным взаимодействием субъектов, осуществляющих активную воздействующую элокутивную деятельность.</w:t>
      </w:r>
    </w:p>
    <w:p>
      <w:pPr>
        <w:spacing w:after="0" w:line="276" w:lineRule="auto"/>
        <w:ind w:firstLine="708"/>
        <w:jc w:val="both"/>
      </w:pPr>
      <w:r>
        <w:rPr>
          <w:rFonts w:ascii="Times New Roman" w:hAnsi="Times New Roman" w:eastAsia="Times New Roman"/>
          <w:sz w:val="28"/>
        </w:rPr>
        <w:t>Понятно, что анализ коммуникативно-прагматических механизмов элокутивных констант не ограничивается рамками данного исследования, а реализуется в многоуровневой структуре связей и отношений, принимая разнообразные формы, уточнение которых требует дальнейшего изучения. Указывая пути продолжения исследуемой темы, определяемые постановкой новых научных задач, отметим, что в дальнейшем изучении нуждаются также презентационные возможности элокуции в рекламной разновидности тестов СМИ. Единообразное оформление текстов имеет системное значение в организации рекламной кампании, поэтому приверженность выбранным приемам становится одним из определяющих факторов в продвижении бренда.</w:t>
      </w:r>
    </w:p>
    <w:sectPr w:rsidR="00FC693F" w:rsidRPr="0006063C" w:rsidSect="00034616">
      <w:pgSz w:w="12240" w:h="15840"/>
      <w:pgMar w:top="1134" w:right="850"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ind w:firstLine="708"/>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