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ind w:firstLine="709"/>
        <w:jc w:val="both"/>
      </w:pPr>
      <w:r>
        <w:rPr>
          <w:rFonts w:ascii="Times New Roman" w:hAnsi="Times New Roman"/>
          <w:sz w:val="28"/>
        </w:rPr>
        <w:t>В национальных литературах мира регулярно представлены тексты, обладающие культурной ценностью, эстетической энергией и формирующие ядро литературных текстов, ориентированных на культуру. В теории интертекстуальности такие ядерные тексты определяются как «сильные» тексты: они известны большинству представителей «своей» культуры; представлены в образовательных программах различных уровней; обладают высокой информационной энергией, что обеспечивает их перманентный энергетический обмен и информационный резонанс с другими «сильными» текстами «своей» и «чужих» культур и со своими читателями. «Сильные» тексты обладают способностью к реинтерпретативности. Они регулярно переводятся на языки «своей» и «чужих» культур — выступают объектами внутриязыкового и межъязыкового переводов, а также и на «языки» других видов искусств — подлежат межсемиотическому переводу (по Р. Якобсону).</w:t>
      </w:r>
    </w:p>
    <w:p>
      <w:pPr>
        <w:spacing w:line="240" w:lineRule="auto" w:after="0"/>
        <w:ind w:firstLine="709"/>
        <w:jc w:val="both"/>
      </w:pPr>
      <w:r>
        <w:rPr>
          <w:rFonts w:ascii="Times New Roman" w:hAnsi="Times New Roman"/>
          <w:sz w:val="28"/>
        </w:rPr>
        <w:t>Литературный текст, и прежде всего «сильный» текст, является одной из важнейших форм экспликации смыслового поля культуры. Практически в каждом художественном оригинале представлена культурная информация (культурный опыт, национально-культурная семантика) — информация об основных событиях, персоналиях, традициях, верованиях, бытовых реалиях, связанных с жизнью национально-культурных сообществ. Культурная информация в текстах литературы обладает гетерогенной природой, так как она представлена внутренней («своя» культурная информация языка оригинала) и внешней («чужая» культурная информация, описываемая языком оригинала) разновидностями. С другой стороны, гетерогенная природа культурной информации обусловлена и тем, что данная информация может включать в себя сведения и о материальной культуре (вещах или предметах — артефактах, созданных человеком), и о культуре духовной (нормах, ценностях, ритуалах, символах, мифах, обычаях, верованиях, традициях). Материальная и духовная разновидности культурной информации являются результатами деятельности людей на протяжении жизни одного или нескольких поколений, что позволяет определить культуру, и соответственно культурную информацию, как «совокупность результатов деятельности людей, создающих систему традиционных для человечества ценностей, как материального, так и духовного характера». Не вызывает сомнения, что одним из важнейших и наиболее традиционных каналов культуры является язык как средство коммуникации: «коммуникация — это одновременно среда, канал и средство-способ “жития” и трансляции самой культуры».</w:t>
      </w:r>
    </w:p>
    <w:p>
      <w:pPr>
        <w:spacing w:line="240" w:lineRule="auto" w:after="0"/>
        <w:ind w:firstLine="709"/>
        <w:jc w:val="both"/>
      </w:pPr>
      <w:r>
        <w:rPr>
          <w:rFonts w:ascii="Times New Roman" w:hAnsi="Times New Roman"/>
          <w:sz w:val="28"/>
        </w:rPr>
        <w:t>Отражаясь в тексте как культурная информация, в контексте художественного перевода культура становится объектом, а также и единицей перевода. Так, с позиции «культурного» направления в переводоведении С. Басснетт и А. Лефевр приходят к новаторскому выводу о том, что именно культура становится операционной единицей перевода, а не слово или текст. Культурная информация, представленная в тексте, номинируется различными единицами: «cultural words» (П. Ньюмарк), «culture-specific references» (И. Гамбье), «cultureme» (К. Норд), «реалии» (Л. С. Бархударов, М. Л. Вайсбурд, С. Влахов и С. Флорин, Д. Б. Гудков, Е. Ю. Попова, Г. Д. Томахин), «слова с культурным компонентом» (Е. М. Верещагин и В. Г. Костомаров, Г. Д. Томахин), «культуронимы» (В. В. Кабакчи). В настоящем исследовании используется термин «культуроним», широко представленный в современном научном дискурсе и обозначающий языковые единицы, закрепленные за элементами различных культур.</w:t>
      </w:r>
    </w:p>
    <w:p>
      <w:pPr>
        <w:spacing w:line="240" w:lineRule="auto" w:after="0"/>
        <w:ind w:firstLine="709"/>
        <w:jc w:val="both"/>
      </w:pPr>
      <w:r>
        <w:rPr>
          <w:rFonts w:ascii="Times New Roman" w:hAnsi="Times New Roman"/>
          <w:sz w:val="28"/>
        </w:rPr>
        <w:t>Часть культурной информации определяется как «культурная память» — сравнительно новое понятие, подразумевающее одно из внешних измерений человеческой памяти (наряду с миметической, предметной и коммуникативной памятью) и имеющее временной и социальный аспекты. Феномен культурной памяти связан с вопросами коллективной идентичности («мы-идентичности»), поскольку именно благодаря культурной памяти, выполняющей роль коннективной структуры общества, осуществляется циркуляция, сохранение и передача культурного смысла. Предлагая термин «культурная память» и определяя данное явление как форму коллективной памяти, египтолог и теоретик культуры Я. Ассман трактует культурную память через понятие «помнящей культуры» (ср. «память культуры и культура памяти» у Ю. М. Лотмана), понимаемой как коллективная, групповая память, порождающая групповую, коллективную идентичность и имеющая выраженный надындивидуальный характер.</w:t>
      </w:r>
    </w:p>
    <w:p>
      <w:pPr>
        <w:spacing w:line="240" w:lineRule="auto" w:after="0"/>
        <w:ind w:firstLine="709"/>
        <w:jc w:val="both"/>
      </w:pPr>
      <w:r>
        <w:rPr>
          <w:rFonts w:ascii="Times New Roman" w:hAnsi="Times New Roman"/>
          <w:sz w:val="28"/>
        </w:rPr>
        <w:t>Культурная память как особый вид культурной информации часто является неточной и нередко измененной информацией о событиях прошлого. Будучи мифологизированной информацией об исторических событиях, местах, явлениях и людях, фиксируемой в народных песнях, сказаниях, легендах, анекдотах и прочих устных и письменных текстах, культурная память есть несколько искаженная культурная информация. В отличие от культурной информации память прочно сохраняется в долгосрочной памяти у значительной части культурного сообщества и передается из поколения в поколение. Выходя за рамки культурного опыта индивида, культурная память отражает наиболее значимое прошлое, общее для определенного народа, нации или даже для большинства человечества независимо от национальной принадлежности. По К. Юнгу, культурная память является наследием всех предыдущих поколений человечества, представляет собой итог жизни рода и определяется как родовая память человечества, не относящаяся к личным воспоминаниям отдельного человека — «коллективное бессознательное».</w:t>
      </w:r>
    </w:p>
    <w:p>
      <w:pPr>
        <w:spacing w:line="240" w:lineRule="auto" w:after="0"/>
        <w:ind w:firstLine="709"/>
        <w:jc w:val="both"/>
      </w:pPr>
      <w:r>
        <w:rPr>
          <w:rFonts w:ascii="Times New Roman" w:hAnsi="Times New Roman"/>
          <w:sz w:val="28"/>
        </w:rPr>
        <w:t>Обращение к явлению культурной памяти переместило исследование памяти из традиционных областей биологии и психологии в область культуры, что существенно изменило методологию и акцентировало важность изучения аксиологического освоения и символической интерпретации культуры. В контексте семиотического подхода культурная память традиционно понимается как особый надындивидуальный механизм хранения и передачи сообщений (текстов) и выработки новых сообщений. Ю. М. Лотман сделал важный методологическому вывод: культура и память являются тесно взаимообусловленными и взаимосвязанными, поскольку пространство культуры может быть определено как пространство общей памяти, в которой культурно-значимые тексты хранятся и актуализируются. Размышляя о взаимосвязи культуры и памяти, Ю. М. Лотман пишет: «…память культуры не следует представлять себе как некоторый склад, в который сложены сообщения, неизменные в своей сущности и всегда равнозначные сами себе. В этом отношении выражение “хранить информацию” может своим метафоризмом вводить в заблуждение. Память не склад информации, а механизм ее регенерирования». В точке пересечения культуры и памяти наиболее актуальными становятся вопросы культурного и мнемонического кодирования.</w:t>
      </w:r>
    </w:p>
    <w:p>
      <w:pPr>
        <w:spacing w:line="240" w:lineRule="auto" w:after="0"/>
        <w:ind w:firstLine="709"/>
        <w:jc w:val="both"/>
      </w:pPr>
      <w:r>
        <w:rPr>
          <w:rFonts w:ascii="Times New Roman" w:hAnsi="Times New Roman"/>
          <w:sz w:val="28"/>
        </w:rPr>
        <w:t>В настоящее время культурная память является объектом междисциплинарных исследований в различных областях гуманитарных знаний: философии, религиоведении, теории культуры, социологии, истории, антропологии, этнологии, литературоведении и лингвистике. Успешность изучения культурной памяти во многом зависит от использования эффективной методологии исследования. Именно методология является тем местом, где плодотворно встречаются теория и практика. Их очевидная взаимосвязь отражается в таких понятиях, как «археология знания» и «археология текста». Авторы перечисленных «археологических» понятий основываются в исследованиях на признании того, что именно текст является одной из традиционных форм и мест хранения культурной информации и соответственно культурной памяти. Понятие археологии в данном случае имеет метафорическое значение и отражает универсальный аналитический метод извлечения и далее изучения архивированной информации, что отражает герменевтический поворот в современных гуманитарных науках. В филологической герменевтике представлены исследования, посвященные изучению культурной памяти в текстах русских классиков, ставших достоянием мировой литературы и культуры.</w:t>
      </w:r>
    </w:p>
    <w:p>
      <w:pPr>
        <w:spacing w:line="240" w:lineRule="auto" w:after="0"/>
        <w:ind w:firstLine="709"/>
        <w:jc w:val="both"/>
      </w:pPr>
      <w:r>
        <w:rPr>
          <w:rFonts w:ascii="Times New Roman" w:hAnsi="Times New Roman"/>
          <w:sz w:val="28"/>
        </w:rPr>
        <w:t>Поскольку культурная информация и память являются неотъемлемой частью информационного пространства художественных текстов, традиционно вовлеченных в процесс художественного перевода, то к областям изучения данных явлений культуры, несомненно, относится и художественное переводоведение. История художественного перевода убедительно свидетельствует о том, что «сильный» оригинал генерирует многочисленные иноязычные и иносистемные (межсемиотические) вторичные тексты и образует обширный центр переводческой аттракции. В роли наиболее известных аттракторов перевода регулярно выступают тексты, являющиеся достоянием культуры. Для русской культуры это прежде всего тексты А. С. Пушкина, Ф. М. Достоевского, Л. Н. Толстого, А. П. Чехова. С позиции лингвокультурологического направления в переводоведении тексты-достояния («cultural capital»), или «сильные» тексты, находятся в узлах текстовых и культурных решеток, что обеспечивает стабильность и сохраняемость культур, а также их регулярное участие в межкультурном обмене — художественном переводе.</w:t>
      </w:r>
    </w:p>
    <w:p>
      <w:pPr>
        <w:spacing w:line="240" w:lineRule="auto" w:after="0"/>
        <w:ind w:firstLine="709"/>
        <w:jc w:val="both"/>
      </w:pPr>
      <w:r>
        <w:rPr>
          <w:rFonts w:ascii="Times New Roman" w:hAnsi="Times New Roman"/>
          <w:sz w:val="28"/>
        </w:rPr>
        <w:t>Ингерентная культурная ориентированность «сильных» текстов предполагает выбор эффективных стратегий культурной адаптации информации художественного оригинала в переводе. Представляется, что применение «археологического» подхода к вопросам художественного перевода выводит проблематику данного вида перевода из сравнительно узкой лингвистической сферы в более широкий лингвокультурный контекст, который в большей степени соответствует специфике художественного текста (как важного явления культуры) и художественного перевода (как значимого культурного процесса), а также культурной информации и памяти (как содержательного параметра художественного текста и регулярного объекта перевода). Культуроориентированная теория, развившаяся в альтернативу лингвистической теории перевода, оперирует ключевым понятием инаковости (otherness), позволяющим отразить межкультурное взаимодействие текстов перевода и описать фиксируемые в текстах культурные явления в их взаимосвязи и взаимодействии.</w:t>
      </w:r>
    </w:p>
    <w:p>
      <w:pPr>
        <w:spacing w:line="240" w:lineRule="auto" w:after="0"/>
        <w:ind w:firstLine="709"/>
        <w:jc w:val="both"/>
      </w:pPr>
      <w:r>
        <w:rPr>
          <w:rFonts w:ascii="Times New Roman" w:hAnsi="Times New Roman"/>
          <w:sz w:val="28"/>
        </w:rPr>
        <w:t>Рассмотрение культурной информации и памяти как объекта и единицы перевода неизбежно приводит к необходимости найти ответы на два ключевых вопроса: (1) вопрос о переводимости данных единиц и (2) вопрос о выборе наиболее эффективных стратегий перевода. В отношении переводческой дихотомии «переводимость-непереводимость» в данной работе разделяется оптимистическая точка зрения на переводимость (в наиболее широком понимании данного понятия). Непереводимых текстов не существует, но есть непереводимые элементы текстов, поэтому в большинстве случаев необходимо говорить не о принципиальной переводимости, а о степени переведённости потенциальных единиц перевода. В выборе наиболее эффективных стратегий перевода необходимо учитывать, что с позиций лингвокультурологии широкое применение получил термин «адаптация», используемый преимущественно в двух значениях: во-первых, для определения конкретного переводческого приема, предполагающего замену неизвестного культурного явления языка оригинала на явление, известное в культуре языка перевода; вовторых, для обозначения способа достижения равенства коммуникативного эффекта в текстах оригинала и перевода. При рассмотрении перевода художественного текста как герменевтической задачи лингвокультурная адаптация предполагает встраивание переведенного текста в матрицу (культурную решётку у А. Лефевра) принимающей лингвокультуры. Л. Венути рассматривает основные стратегии адаптации культурной информации в рамках лингвокультурной дихотомии «свой и чужой» и определяет стратегии терминами «форенизация» и «доместикация». Сравнительно недавно к данной парадигме стратегий была добавлена стратегия остранения. Интересно отметить, что как антиманипулятивная стратегия остранение было эффективно применено в кинопереводе.</w:t>
      </w:r>
    </w:p>
    <w:p>
      <w:pPr>
        <w:spacing w:line="240" w:lineRule="auto" w:after="0"/>
        <w:ind w:firstLine="709"/>
        <w:jc w:val="both"/>
      </w:pPr>
      <w:r>
        <w:rPr>
          <w:rFonts w:ascii="Times New Roman" w:hAnsi="Times New Roman"/>
          <w:sz w:val="28"/>
        </w:rPr>
        <w:t>Идея остранения как художественного приема (эффекта) впервые была сформулирована лидером русского формализма В. Б. Шкловским, исследовавшим проявления категории странного в художественной литературе, и прежде всего в текстах Л. Н. Толстого, который использовал специальный прием для вычленения обыденного предмета из рутинного контекста. Остранение не является исключительно толстовским художественным приемом: его регулярно использовали Ф. М. Достоевский, Н. С. Лесков, А. И. Куприн, А. П. Чехов и другие русские писатели. В зарубежной литературе прием остранения характерен для творчества Ф. Кафки и Э. Гофмана. Применение данного приема задерживает внимание читателя на описываемом в тексте предмете, способствует эмоциональному восприятию, осмыслению и переживанию связанной с предметом информации. Остранение обеспечивает особое восприятие и видение предмета, которое напрямую не объясняет значение предмета, а только концентрирует на нем внимание, увеличивая время его «созерцания» и осознания, усиливая трудность его восприятия читателем. «Целью образа является не приближение его значения к нашему пониманию, а создание особого восприятия предмета, создание “виденья” его, а не “узнавания”». Вышесказанное позволяет использовать прием остранения для обозначение трансформации вещей из обычных в странные, непонятные. Именно такое понимание художественного явления позволило В. Б. Шкловскому считать остранение не только особым художественным приемом, но и универсальным законом искусства.</w:t>
      </w:r>
    </w:p>
    <w:p>
      <w:pPr>
        <w:spacing w:line="240" w:lineRule="auto" w:after="0"/>
        <w:ind w:firstLine="709"/>
        <w:jc w:val="both"/>
      </w:pPr>
      <w:r>
        <w:rPr>
          <w:rFonts w:ascii="Times New Roman" w:hAnsi="Times New Roman"/>
          <w:sz w:val="28"/>
        </w:rPr>
        <w:t>В дальнейшем понятие остранения значительно расширило сферу применения. Так, у немецкого драматурга Б. Брехта у остранения усиливается степень странности и явление переходит из пространства странности в пространство «чужести», становится уже не странным, а чужим и непонятным, трансформируется в стадию «отчуждения». Комплексное рассмотрение понятия остранения в работах В. Б. Шкловского и З. Фрейда (в теории жуткого) дает возможность М. Н. Эпштейну разграничить остранение и ожутчение и предложить термин «острашение» (гиперболу остранения), номинирующий художественный прием, «который выводит восприятие вещи из автоматизма и побуждает сосредоточить на ней внимание, поскольку она пугает, представляет угрозу». Получая статус закона искусства, предсказанный еще В. Б. Шкловским, в настоящее время остранение широко представлено в многомерном пространстве искусства. Так, в театроведении остранение модифицируется в театральный эффект отчуждения; в кинематографии используется как средство влияния на зрительское восприятие креолизированного кинотекста; в изобразительном искусстве определяет затрудненное восприятия объекта. Странность формы объекта делает восприятие основным процессом искусства и обеспечивает не только восприятие, но и глубокое переживание произведений искусства, осмысление и переосмысление заложенной в них эстетической информации.</w:t>
      </w:r>
    </w:p>
    <w:p>
      <w:pPr>
        <w:spacing w:line="240" w:lineRule="auto" w:after="0"/>
        <w:ind w:firstLine="709"/>
        <w:jc w:val="both"/>
      </w:pPr>
      <w:r>
        <w:rPr>
          <w:rFonts w:ascii="Times New Roman" w:hAnsi="Times New Roman"/>
          <w:sz w:val="28"/>
        </w:rPr>
        <w:t>В предметной области переводоведения появились работы (В. П. Руднев, И. А. Самохина, С. Н. Сыроваткин), анализирующие передачу приёма остранения в ситуации перевода русской классики на иностранные языки. Интересный материал для наблюдения за приемом остранения как единицы художественного перевода, а также и как новой переводческой стратегии представлен в английском переводе поэмы Н. В. Гоголя «Мертвые души», выполненном К. Инглишем. Переводчик использует стратегии культурной адаптации информации гоголевского оригинала в сочетании с переводом-остранением или переводом-калькой. При таком переводческом подходе и с помощью техники транслитерации происходит этнокультурная идентификация безэквивалентных единиц русского оригинала и создается эффект остранения, сигнализирующий читателю о том, что перед ним перевод иноязычного оригинала. Остранение не только обеспечивает определенную степень «русскости» английского перевода, но и позволяет переводчику следовать следую­ щему принципу: «чужое» слово в гоголевском тексте остается «чужим» в переводе. «Следует отметить, однако, что этот эффект, создаваемый при переводе, неожиданно оказывается конгениальным поэтике оригинала в тех фрагментах, где сам Гоголь моделирует установку на остранение». Отдельного внимания заслуживает и диссертационное исследование, посвященное рассмотрению остранения в аспекте сопоставительной стилистики и передачи данного художественного приема в переводе. В работе Д. М. Бузаджи, ставшей первым исследованием понятия остранения в российском переводоведении, остранение понимается как обобщенная семантическая модель, которая помогла бы подвести под все случаи остранения единое семантическое основание, но не учитывает проблему психологического отчуждения автора от своего материала, когда текст подвергается переводу.</w:t>
      </w:r>
    </w:p>
    <w:p>
      <w:pPr>
        <w:spacing w:line="240" w:lineRule="auto" w:after="0"/>
        <w:ind w:firstLine="709"/>
        <w:jc w:val="both"/>
      </w:pPr>
      <w:r>
        <w:rPr>
          <w:rFonts w:ascii="Times New Roman" w:hAnsi="Times New Roman"/>
          <w:sz w:val="28"/>
        </w:rPr>
        <w:t>Бесспорно выдающимся («сильным») текстом как русской, так и всей мировой художественной литературы является роман М. А. Булгакова «Мастер и Маргарита». Его несомненная «сила» обусловлена богатством булгаковских смыслов, генерируемых высокой интертекстуальностью художественной ткани, переплетённостью сюжетных линий, сложной хронотопной организацией повествования, яркими образами главных и второстепенных героев. Важнейшим источником «силы» текста романа стали и представленные в нем культурная информация и память. Перечисленные параметры определяют особый строй и художественную уникальность романа.</w:t>
      </w:r>
    </w:p>
    <w:p>
      <w:pPr>
        <w:spacing w:line="240" w:lineRule="auto" w:after="0"/>
        <w:ind w:firstLine="709"/>
        <w:jc w:val="both"/>
      </w:pPr>
      <w:r>
        <w:rPr>
          <w:rFonts w:ascii="Times New Roman" w:hAnsi="Times New Roman"/>
          <w:sz w:val="28"/>
        </w:rPr>
        <w:t>Одним из механизмов придания фантастичности и мистицизма булгаковскому тексту является художественный прием остранения, используемый автором для представления читателям многомерной действительности романа. Примечательно, что в романе представлены два типа остранения, которые выделил В. Б. Шкловский. Языковым механизмом реализации остранения первого типа выступают метафоризация и эвфемизация, широко используемые М. А. Булгаковым. Второй тип реализуется через отказ автора текста от прямого называния предмета, через его детальное косвенное описание, что также характерно для случая «Мастера и Маргариты». Разница между двумя типами приема представлена в интенциях художественного текста, а также в том, что сознательно эксплицируется и имплицируется автором.</w:t>
      </w:r>
    </w:p>
    <w:p>
      <w:pPr>
        <w:spacing w:line="240" w:lineRule="auto" w:after="0"/>
        <w:ind w:firstLine="709"/>
        <w:jc w:val="both"/>
      </w:pPr>
      <w:r>
        <w:rPr>
          <w:rFonts w:ascii="Times New Roman" w:hAnsi="Times New Roman"/>
          <w:sz w:val="28"/>
        </w:rPr>
        <w:t>Интересующий нас художественный прием широко представлен в русском оригинале романа, что достигается использованием «странных» имен персонажей, существующих в «странном» инфернальном времени (Воланд, Бегемот, Азазелло, Фагот), московском времени (Берлиоз, Бездомный, Римский, Варенуха, Стравинский) и ветхозаветном времени (Марк Крысобой, Низа). Мистическая атмосфера создается непосредственно с первых строк. «Странность» первой главы романа эксплицируется уже ее названием «Никогда не разговаривайте с неизвестными», информирующим о неизбежности встречи героев романа и соответственно читателей с чем-то незнакомым, непонятным и, как следствие этого, странным. Встреча героев московского и инфернального времени описывается в тексте различными лексическими средствами. Предчувствие странных событий и появление странных персонажей предсказывается уже в первых строках. Странное место действия и странные ощущения писателей значительно усиливаются появлением крайне странного персонажа. Усиленная степень странности, выраженная в оригинале префиксальной единицей престранный, сохранена во всех английских переводах — the strangest, bizarre, the strangest, very strange. Появление в воздухе «престранного» персонажа (Коровьева) предваряет появление главного инфернального (и, конечно, странного) персонажа — Воланда. В рассматриваемой главе автор не сообщает читателю имени героя, но дает развернутое описание его странной внешности и поведения. Для обозначения персонажа в оригинале многократно используются единицы иностранец и неизвестный, а также англичанин, немец, француз, поляк, интурист, шпион, эмигрант. Несколько реже все еще безыменный Воланд называется заграничным чудаком, заграничным гостем, иноземцем, незнакомцем, что также определяет его как чужого, странного. Берлиоз мысленно определяет его как престранного субъекта. После предъявления Воландом писателям визитной карточки в тексте используется единица профессор, а в заключительной части главы появляется сочетание странный профессор. В русском оригинале на визитной карточке профессора одновременно использованы буквы кириллического и латинского алфавита, что эксплицирует иностранную (чужую, странную) природу графического знака — напечатанное иностранными буквами слово. Появление в кириллическом тексте оригинала инографической буквы «W», выделенной кавычками, также служит созданию эффекта остранения. Смешение графических систем в русском оригинале усиливает эффект остранения. В монографических английских переводах используются только графическое выделение аббревиатуры кавычками и эксплицитные указания foreign alphabet и foreign letters.</w:t>
      </w:r>
    </w:p>
    <w:p>
      <w:pPr>
        <w:spacing w:line="240" w:lineRule="auto" w:after="0"/>
        <w:ind w:firstLine="709"/>
        <w:jc w:val="both"/>
      </w:pPr>
      <w:r>
        <w:rPr>
          <w:rFonts w:ascii="Times New Roman" w:hAnsi="Times New Roman"/>
          <w:sz w:val="28"/>
        </w:rPr>
        <w:t>Исследователи творчества М. А. Булгакова регулярно подчеркивают «остраненность» текстов писателя, и в частности текста «Мастера и Маргариты». А. П. Казаркин отмечает, что философская ирония в романе «предполагает постоянное опровержение взглядов и дел героев, а главное — остранение привычного мировоззрения: доказательство его односторонности, недостаточности или ненормальности». В широком смысле можно утверждать, что весь роман, и прежде всего сцены инфернального времени, создан на основе закона искусства, сформулированного В. Б. Шкловским, — закона остранения. Ярчайшим примером применения указанного закона является эпизод «Великий бал у Сатаны». Таким образом, роман «Мастер и Маргарита» может быть определен как роман-остранение, что в полной мере соответствует криптографической природе культового булгаковского текста.</w:t>
      </w:r>
    </w:p>
    <w:p>
      <w:pPr>
        <w:spacing w:line="240" w:lineRule="auto" w:after="0"/>
        <w:ind w:firstLine="709"/>
        <w:jc w:val="both"/>
      </w:pPr>
      <w:r>
        <w:rPr>
          <w:rFonts w:ascii="Times New Roman" w:hAnsi="Times New Roman"/>
          <w:sz w:val="28"/>
        </w:rPr>
        <w:t>Переводчикам романа необходимо решить целый комплекс переводческих задач. В контексте остранения — это задачи идентификации фрагментов художественного текста, содержащих приемы остранения в оригинале и являющихся единицами перевода; сохранения приема остранения в переводе. Узнавание и декодирование смыслов, созданных на основе приема остранения, должно в полной мере соответствовать стремлению переводчика к полному и глубокому освоению информационного комплекса текста. Одновременное выполнение переводчиком ролей субъекта чтения и субъекта перевода позволяет рассматривать перевод с позиций герменевтики как «предельный случай понимания» (по Г. Гадамеру), как крайне сложную и важную герменевтическую задачу. Что, несомненно, актуально для перевода «Мастера и Маргариты».</w:t>
      </w:r>
    </w:p>
    <w:p>
      <w:pPr>
        <w:spacing w:line="240" w:lineRule="auto" w:after="0"/>
        <w:ind w:firstLine="709"/>
        <w:jc w:val="both"/>
      </w:pPr>
      <w:r>
        <w:rPr>
          <w:rFonts w:ascii="Times New Roman" w:hAnsi="Times New Roman"/>
          <w:sz w:val="28"/>
        </w:rPr>
        <w:t>Необходимо отметить, что стратегия остранения не используется исключительно для передачи в переводе приема остранения, представленного в оригинале, что можно проиллюстрировать на материале английских переводов 28-й главы романа. В данной главе представлена комическая и порой гротескная сцена посещения Торгсина Бегемотом и Коровьевым. Несмотря на присутствие мистических персонажей и их странные действия, «скелетом» данной сцены является сценарная ситуация посещения магазина, в которой участвуют посетители (Коровьев, Бегемот, публика, гражданки в платочках и беретиках, гражданки на низеньких стульчиках, низенький квадратный человек в сиреневом пальто, тихий старичок) и сотрудники магазина (швейцар, продавец в рыбном отделе, продавщица кондитерского отдела, Павел Иосифович), а также описываются продаваемые товары (лососина, мандарины, шоколадные плитки, селедка, миндальные пирожные, ситец, миткаль, шифоны и сукна фрачные, коробки с обувью). Место действия обозначено единицами магазин, Торгсин и Смоленский рынок. В данной сцене покупатели примеряют обувь, беседуют с продавцами, узнают цену товара. В свою очередь, продавцы обслуживают клиентов, разделывают лососину, информируют покупателей о цене товара, требуют товарный чек. Сценарная ситуация оформлена в тексте в соответствии с художественным замыслом и индивидуальным стилем автора, что делает её крайне динамичной и карикатурной. Прежде всего необходимо отметить, что в переводе М. Гинзбург, впервые опубликованном в 1967 г. и ставшем первым англоязычным переводом, сцена в Торгсине полностью отсутствует. 28-я глава романа значительно сокращена и содержит только сцену в ресторане Дома Грибоедова. Можно гипотетически предположить, что отсутствие сцены вызвано решением переводчика отказаться от перевода событийно и стилистически сложной сцены или тем, что переводчик посчитал сцену недостаточно важной для развития сюжетной линии переводимого художественного текста. Кроме того, перевод М. Гинзбург был выполнен с текста романа, опубликованного в СССР и подвергшегося значительной цензуре.</w:t>
      </w:r>
    </w:p>
    <w:p>
      <w:pPr>
        <w:spacing w:line="240" w:lineRule="auto" w:after="0"/>
        <w:ind w:firstLine="709"/>
        <w:jc w:val="both"/>
      </w:pPr>
      <w:r>
        <w:rPr>
          <w:rFonts w:ascii="Times New Roman" w:hAnsi="Times New Roman"/>
          <w:sz w:val="28"/>
        </w:rPr>
        <w:t>Единица Торгсин наряду с названиями других организаций и учреждений Москвы является культуронимом, содержащим культурную память о сравнительно недалеком прошлом Советской России и сокращением названия организации «Всесоюзное объединение по торговле с иностранцами». Единица стала одним из ключевых слов эпохи экономического эксперимента в СССР и олицетворением сытой буржуазной жизни. Торгсин входит в обширную группу советизмов, широко представленных в московских главах романа и культурно значимых для русофонных читателей. Единица имплицирует идею широкого выбора импортных товаров высокого качества, торговлю на валюту и золотые монеты. Использование единицы Торгсин крайне важно для создания атмосферы изобилия и сытости в магазине, который посещают булгаковские персонажи. Рассмотрим стратегии перевода культуронима Торгсин в других английских переводах. Так, переводчик Х. Альпин использует транслитерацию единицы оригинала, образуя эквивалент Torgsin. Читатели перевода могут понять, что слово Torgsin служит названием магазина, только из более широкого контекста главы. В переводе Х. Альпина значение единицы также объясняется читателям перевода в послетекстовом комментарии: The name is an abbreviation for ‘trade with foreigners’. М. Гленни, а в более позднем переводе и Д. Бургин и К. О’Коннор используют соответствие Torgsin Store, информирующее читателей перевода уже в пределах микроконтекста о том, что единица номинирует магазин. Р. Пивер и Л. Волохонски применяют стратегию культурного опущение и отказываются от транслитерации единицы оригинала, используя сочетание «currency store», которая передает родовое понятие магазина и информирует читателя о том, что торговля в описываемом магазине осуществляется на валюту. М. Карпельсон использует следующее переводческое соответствие Torgsin foreign currency store, в котором русская единица транслитерирована и сопровождается достаточно подробным культурным толкованием прямо в тексте главы. В послетекстовом комментарии к переводу М. Карпельсона использованная единица объясняется читателям еще раз: Torgsin currency stores had significantly better merchandise and were limited to foreigners and those Russians who were allowed access to foreign currency. Читатели переводов, не знакомые с явлениями экономики Советской России, воспринимают Torgsin как иноязычную (русскую) лексическую единицу, принадлежащую к культуре оригинального художественного текста и оформленную по правилам языка оригинала. Культуроориентированная стратегия остранения задерживает внимание читателя на транслитерированном культурониме, что обеспечивает определенную «русскость» английских переводов.</w:t>
      </w:r>
    </w:p>
    <w:p>
      <w:pPr>
        <w:spacing w:line="240" w:lineRule="auto" w:after="0"/>
        <w:ind w:firstLine="709"/>
        <w:jc w:val="both"/>
      </w:pPr>
      <w:r>
        <w:rPr>
          <w:rFonts w:ascii="Times New Roman" w:hAnsi="Times New Roman"/>
          <w:sz w:val="28"/>
        </w:rPr>
        <w:t>Таким образом, принимая во внимание значимость приема и закона остранения для оригинала «Мастера и Маргариты», можно утверждать, что основной целью переводчика «сильного» текста русской культуры является создание вторичного художественного текста, который, как и оригинал, основан на остранении как универсальном законе искусства. Воссоздание приема остранения оригинала в переводе и применение стратегии остранения дает возможность сохранить культурную информацию и память оригинала, что может обеспечить встраивание переводного художественного текста в текстовую и культурную решетки языка перевода.</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