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jc w:val="center"/>
      </w:pPr>
      <w:r>
        <w:rPr>
          <w:rFonts w:ascii="Arial" w:cs="Arial" w:eastAsia="Arial" w:hAnsi="Arial"/>
          <w:b/>
          <w:bCs/>
          <w:color w:val="2C5F8A"/>
          <w:sz w:val="72"/>
          <w:szCs w:val="72"/>
        </w:rPr>
        <w:t xml:space="preserve">BRAINWAVE</w:t>
      </w:r>
    </w:p>
    <w:p>
      <w:pPr>
        <w:spacing w:after="80"/>
        <w:jc w:val="center"/>
      </w:pPr>
      <w:r>
        <w:rPr>
          <w:rFonts w:ascii="Arial" w:cs="Arial" w:eastAsia="Arial" w:hAnsi="Arial"/>
          <w:color w:val="1A3A54"/>
          <w:sz w:val="36"/>
          <w:szCs w:val="36"/>
        </w:rPr>
        <w:t xml:space="preserve">Knowledge Management Platform</w:t>
      </w:r>
    </w:p>
    <w:p>
      <w:pPr>
        <w:pBdr>
          <w:bottom w:val="single" w:color="2C5F8A" w:sz="6" w:space="1"/>
        </w:pBdr>
        <w:spacing w:after="160" w:before="160"/>
      </w:pPr>
    </w:p>
    <w:p>
      <w:pPr>
        <w:spacing w:after="80"/>
        <w:jc w:val="center"/>
      </w:pPr>
      <w:r>
        <w:rPr>
          <w:rFonts w:ascii="Arial" w:cs="Arial" w:eastAsia="Arial" w:hAnsi="Arial"/>
          <w:b/>
          <w:bCs/>
          <w:color w:val="1A3A54"/>
          <w:sz w:val="40"/>
          <w:szCs w:val="40"/>
        </w:rPr>
        <w:t xml:space="preserve">MVP Feature Summary</w:t>
      </w:r>
    </w:p>
    <w:p>
      <w:pPr>
        <w:spacing w:after="240"/>
        <w:jc w:val="center"/>
      </w:pPr>
      <w:r>
        <w:rPr>
          <w:rFonts w:ascii="Arial" w:cs="Arial" w:eastAsia="Arial" w:hAnsi="Arial"/>
          <w:i/>
          <w:iCs/>
          <w:color w:val="555555"/>
          <w:sz w:val="22"/>
          <w:szCs w:val="22"/>
        </w:rPr>
        <w:t xml:space="preserve">What Brainwave does, what it offers, and how its pieces fit together</w:t>
      </w:r>
    </w:p>
    <w:p>
      <w:pPr>
        <w:spacing w:after="480" w:before="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pPr>
            <w:r>
              <w:rPr>
                <w:b/>
                <w:bCs/>
                <w:sz w:val="20"/>
                <w:szCs w:val="20"/>
              </w:rPr>
              <w:t xml:space="preserve">Version</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pPr>
            <w:r>
              <w:rPr>
                <w:sz w:val="20"/>
                <w:szCs w:val="20"/>
              </w:rPr>
              <w:t xml:space="preserve">1.0 — MVP</w:t>
            </w:r>
          </w:p>
        </w:tc>
      </w:tr>
      <w:t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pPr>
            <w:r>
              <w:rPr>
                <w:b/>
                <w:bCs/>
                <w:sz w:val="20"/>
                <w:szCs w:val="20"/>
              </w:rPr>
              <w:t xml:space="preserve">Date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pPr>
            <w:r>
              <w:rPr>
                <w:sz w:val="20"/>
                <w:szCs w:val="20"/>
              </w:rPr>
              <w:t xml:space="preserve">May 2026</w:t>
            </w:r>
          </w:p>
        </w:tc>
      </w:tr>
      <w:t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pPr>
            <w:r>
              <w:rPr>
                <w:b/>
                <w:bCs/>
                <w:sz w:val="20"/>
                <w:szCs w:val="20"/>
              </w:rPr>
              <w:t xml:space="preserve">Author</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pPr>
            <w:r>
              <w:rPr>
                <w:sz w:val="20"/>
                <w:szCs w:val="20"/>
              </w:rPr>
              <w:t xml:space="preserve">Ahmad Awad</w:t>
            </w:r>
          </w:p>
        </w:tc>
      </w:tr>
      <w:t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pPr>
            <w:r>
              <w:rPr>
                <w:b/>
                <w:bCs/>
                <w:sz w:val="20"/>
                <w:szCs w:val="20"/>
              </w:rPr>
              <w:t xml:space="preserve">Purpose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pPr>
            <w:r>
              <w:rPr>
                <w:sz w:val="20"/>
                <w:szCs w:val="20"/>
              </w:rPr>
              <w:t xml:space="preserve">Upskilling project — not monetized</w:t>
            </w:r>
          </w:p>
        </w:tc>
      </w:tr>
    </w:tbl>
    <w:p>
      <w:pPr>
        <w:spacing w:after="960" w:before="0"/>
      </w:pP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bookmarkStart w:name="1._What_is_Brainwave?" w:id="1"/>
      <w:r>
        <w:t xml:space="preserve">1. What is Brainwave?</w:t>
      </w:r>
      <w:bookmarkEnd w:id="1"/>
    </w:p>
    <w:p>
      <w:pPr>
        <w:spacing w:after="160"/>
      </w:pPr>
      <w:r>
        <w:t xml:space="preserve">Brainwave is a personal knowledge management platform built from the ground up to demonstrate real-world distributed-systems principles. It gives users one place to store, search, annotate, and manage documents — while the underlying platform enforces security boundaries, tracks document lifecycle through well-defined states, and exposes the full health of the system through an integrated observability stack.</w:t>
      </w:r>
    </w:p>
    <w:p>
      <w:pPr>
        <w:spacing w:after="120" w:before="0"/>
      </w:pPr>
    </w:p>
    <w:p>
      <w:pPr>
        <w:spacing w:after="160"/>
      </w:pPr>
      <w:r>
        <w:t xml:space="preserve">The project is not intended for commercial use. It exists to produce operational experience with the architectural decisions that matter most at scale: state ownership, identity federation, polyglot persistence, cloud-native packaging, and platform observability.</w:t>
      </w:r>
    </w:p>
    <w:p>
      <w:pPr>
        <w:spacing w:after="120" w:before="0"/>
      </w:pPr>
    </w:p>
    <w:p>
      <w:pPr>
        <w:pStyle w:val="Heading1"/>
      </w:pPr>
      <w:bookmarkStart w:name="2._Who_it_is_For" w:id="1"/>
      <w:r>
        <w:t xml:space="preserve">2. Who it is For</w:t>
      </w:r>
      <w:bookmarkEnd w:id="1"/>
    </w:p>
    <w:p>
      <w:pPr>
        <w:spacing w:after="160"/>
      </w:pPr>
      <w:r>
        <w:t xml:space="preserve">In the current MVP, Brainwave is used by a single actor type: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4FA" w:val="clear"/>
            <w:tcMar>
              <w:top w:type="dxa" w:w="80"/>
              <w:left w:type="dxa" w:w="180"/>
              <w:bottom w:type="dxa" w:w="80"/>
              <w:right w:type="dxa" w:w="120"/>
            </w:tcMar>
          </w:tcPr>
          <w:p>
            <w:pPr>
              <w:spacing w:after="0"/>
            </w:pPr>
            <w:r>
              <w:rPr>
                <w:b/>
                <w:bCs/>
                <w:sz w:val="20"/>
                <w:szCs w:val="20"/>
              </w:rPr>
              <w:t xml:space="preserve">Authenticated User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after="0"/>
            </w:pPr>
            <w:r>
              <w:rPr>
                <w:sz w:val="20"/>
                <w:szCs w:val="20"/>
              </w:rPr>
              <w:t xml:space="preserve">Any person who signs in through the Brainwave login page. After authentication, they can upload documents, annotate them, search them, and manage their lifecycle.</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80"/>
              <w:bottom w:type="dxa" w:w="80"/>
              <w:right w:type="dxa" w:w="120"/>
            </w:tcMar>
          </w:tcPr>
          <w:p>
            <w:pPr>
              <w:spacing w:after="0"/>
            </w:pPr>
            <w:r>
              <w:rPr>
                <w:b/>
                <w:bCs/>
                <w:sz w:val="20"/>
                <w:szCs w:val="20"/>
              </w:rPr>
              <w:t xml:space="preserve">Platform Operator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after="0"/>
            </w:pPr>
            <w:r>
              <w:rPr>
                <w:sz w:val="20"/>
                <w:szCs w:val="20"/>
              </w:rPr>
              <w:t xml:space="preserve">The person running the Docker stack who has access to the Grafana dashboards, Keycloak admin panel, and Kong gateway admin API for platform-level governance.</w:t>
            </w:r>
          </w:p>
        </w:tc>
      </w:tr>
    </w:tbl>
    <w:p>
      <w:pPr>
        <w:spacing w:after="120" w:before="0"/>
      </w:pPr>
    </w:p>
    <w:p>
      <w:pPr>
        <w:pStyle w:val="Heading1"/>
      </w:pPr>
      <w:bookmarkStart w:name="3._Feature_Overview" w:id="1"/>
      <w:r>
        <w:t xml:space="preserve">3. Feature Overview</w:t>
      </w:r>
      <w:bookmarkEnd w:id="1"/>
    </w:p>
    <w:p>
      <w:pPr>
        <w:pStyle w:val="Heading2"/>
      </w:pPr>
      <w:r>
        <w:t xml:space="preserve">3.1 Identity &amp; Access</w:t>
      </w:r>
    </w:p>
    <w:p>
      <w:pPr>
        <w:spacing w:after="160"/>
      </w:pPr>
      <w:r>
        <w:t xml:space="preserve">Users sign in through a secure login page that integrates with a dedicated identity provider. The session is managed through short-lived access tokens and refresh tokens, so users stay logged in across page reloads without re-entering credentials. Every API call is validated at the gateway layer before it reaches a backend service — no service trusts a request that did not pass through the gate.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4FA" w:val="clear"/>
            <w:tcMar>
              <w:top w:type="dxa" w:w="80"/>
              <w:left w:type="dxa" w:w="180"/>
              <w:bottom w:type="dxa" w:w="80"/>
              <w:right w:type="dxa" w:w="120"/>
            </w:tcMar>
          </w:tcPr>
          <w:p>
            <w:pPr>
              <w:spacing w:after="0"/>
            </w:pPr>
            <w:r>
              <w:rPr>
                <w:b/>
                <w:bCs/>
                <w:sz w:val="20"/>
                <w:szCs w:val="20"/>
              </w:rPr>
              <w:t xml:space="preserve">Secure Login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after="0"/>
            </w:pPr>
            <w:r>
              <w:rPr>
                <w:sz w:val="20"/>
                <w:szCs w:val="20"/>
              </w:rPr>
              <w:t xml:space="preserve">Email-based login with token-based sessions (no passwords stored in the application database).</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80"/>
              <w:bottom w:type="dxa" w:w="80"/>
              <w:right w:type="dxa" w:w="120"/>
            </w:tcMar>
          </w:tcPr>
          <w:p>
            <w:pPr>
              <w:spacing w:after="0"/>
            </w:pPr>
            <w:r>
              <w:rPr>
                <w:b/>
                <w:bCs/>
                <w:sz w:val="20"/>
                <w:szCs w:val="20"/>
              </w:rPr>
              <w:t xml:space="preserve">Token Refresh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after="0"/>
            </w:pPr>
            <w:r>
              <w:rPr>
                <w:sz w:val="20"/>
                <w:szCs w:val="20"/>
              </w:rPr>
              <w:t xml:space="preserve">Sessions are silently renewed in the background — users are not logged out unexpectedly.</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80"/>
              <w:bottom w:type="dxa" w:w="80"/>
              <w:right w:type="dxa" w:w="120"/>
            </w:tcMar>
          </w:tcPr>
          <w:p>
            <w:pPr>
              <w:spacing w:after="0"/>
            </w:pPr>
            <w:r>
              <w:rPr>
                <w:b/>
                <w:bCs/>
                <w:sz w:val="20"/>
                <w:szCs w:val="20"/>
              </w:rPr>
              <w:t xml:space="preserve">Logout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after="0"/>
            </w:pPr>
            <w:r>
              <w:rPr>
                <w:sz w:val="20"/>
                <w:szCs w:val="20"/>
              </w:rPr>
              <w:t xml:space="preserve">A single logout button terminates the session on both the client and the identity provider.</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80"/>
              <w:bottom w:type="dxa" w:w="80"/>
              <w:right w:type="dxa" w:w="120"/>
            </w:tcMar>
          </w:tcPr>
          <w:p>
            <w:pPr>
              <w:spacing w:after="0"/>
            </w:pPr>
            <w:r>
              <w:rPr>
                <w:b/>
                <w:bCs/>
                <w:sz w:val="20"/>
                <w:szCs w:val="20"/>
              </w:rPr>
              <w:t xml:space="preserve">Zero-Trust Gateway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after="0"/>
            </w:pPr>
            <w:r>
              <w:rPr>
                <w:sz w:val="20"/>
                <w:szCs w:val="20"/>
              </w:rPr>
              <w:t xml:space="preserve">All requests pass through the API gateway, which validates identity and enriches requests with user context before forwarding them.</w:t>
            </w:r>
          </w:p>
        </w:tc>
      </w:tr>
    </w:tbl>
    <w:p>
      <w:pPr>
        <w:spacing w:after="120" w:before="0"/>
      </w:pPr>
    </w:p>
    <w:p>
      <w:pPr>
        <w:pStyle w:val="Heading2"/>
      </w:pPr>
      <w:r>
        <w:t xml:space="preserve">3.2 Document Management</w:t>
      </w:r>
    </w:p>
    <w:p>
      <w:pPr>
        <w:spacing w:after="160"/>
      </w:pPr>
      <w:r>
        <w:t xml:space="preserve">Documents are the core resource in Brainwave. Each document moves through a defined set of states — it is not simply created and deleted. This makes the lifecycle explicit and auditable.</w:t>
      </w:r>
    </w:p>
    <w:p>
      <w:pPr>
        <w:spacing w:after="60" w:before="0"/>
      </w:pPr>
    </w:p>
    <w:p>
      <w:pPr>
        <w:spacing w:after="120"/>
      </w:pPr>
      <w:r>
        <w:rPr>
          <w:b/>
          <w:bCs/>
          <w:sz w:val="22"/>
          <w:szCs w:val="22"/>
        </w:rPr>
        <w:t xml:space="preserve">Document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pPr>
              <w:spacing w:after="0"/>
              <w:jc w:val="center"/>
            </w:pPr>
            <w:r>
              <w:rPr>
                <w:b/>
                <w:bCs/>
                <w:color w:val="FFFFFF"/>
                <w:sz w:val="20"/>
                <w:szCs w:val="20"/>
              </w:rPr>
              <w:t xml:space="preserve">State</w:t>
            </w:r>
          </w:p>
        </w:tc>
        <w:tc>
          <w:tcPr>
            <w:tcW w:type="dxa" w:w="75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pPr>
              <w:spacing w:after="0"/>
            </w:pPr>
            <w:r>
              <w:rPr>
                <w:b/>
                <w:bCs/>
                <w:color w:val="FFFFFF"/>
                <w:sz w:val="20"/>
                <w:szCs w:val="20"/>
              </w:rPr>
              <w:t xml:space="preserve">What it means</w:t>
            </w:r>
          </w:p>
        </w:tc>
      </w:tr>
      <w:tr>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after="0"/>
              <w:jc w:val="center"/>
            </w:pPr>
            <w:r>
              <w:rPr>
                <w:b/>
                <w:bCs/>
                <w:color w:val="2C5F8A"/>
                <w:sz w:val="18"/>
                <w:szCs w:val="18"/>
              </w:rPr>
              <w:t xml:space="preserve">PENDING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The upload has been accepted and is being processed. The file may still be transferring to object storage.</w:t>
            </w:r>
          </w:p>
        </w:tc>
      </w:tr>
      <w:tr>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after="0"/>
              <w:jc w:val="center"/>
            </w:pPr>
            <w:r>
              <w:rPr>
                <w:b/>
                <w:bCs/>
                <w:color w:val="2C5F8A"/>
                <w:sz w:val="18"/>
                <w:szCs w:val="18"/>
              </w:rPr>
              <w:t xml:space="preserve">AVAILABLE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The document is fully stored and ready. Users can view its metadata, download the file, and add notes.</w:t>
            </w:r>
          </w:p>
        </w:tc>
      </w:tr>
      <w:tr>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after="0"/>
              <w:jc w:val="center"/>
            </w:pPr>
            <w:r>
              <w:rPr>
                <w:b/>
                <w:bCs/>
                <w:color w:val="2C5F8A"/>
                <w:sz w:val="18"/>
                <w:szCs w:val="18"/>
              </w:rPr>
              <w:t xml:space="preserve">ARCHIVED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The document has been soft-removed by its owner. It is no longer in the active list but has not been deleted.</w:t>
            </w:r>
          </w:p>
        </w:tc>
      </w:tr>
      <w:tr>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after="0"/>
              <w:jc w:val="center"/>
            </w:pPr>
            <w:r>
              <w:rPr>
                <w:b/>
                <w:bCs/>
                <w:color w:val="2C5F8A"/>
                <w:sz w:val="18"/>
                <w:szCs w:val="18"/>
              </w:rPr>
              <w:t xml:space="preserve">DELETED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The document has been permanently removed from the platform along with its binary content.</w:t>
            </w:r>
          </w:p>
        </w:tc>
      </w:tr>
    </w:tbl>
    <w:p>
      <w:pPr>
        <w:spacing w:after="120" w:before="0"/>
      </w:pPr>
    </w:p>
    <w:p>
      <w:pPr>
        <w:spacing w:after="160"/>
      </w:pPr>
      <w:r>
        <w:t xml:space="preserve">What a user can do with documents:</w:t>
      </w:r>
    </w:p>
    <w:p>
      <w:pPr>
        <w:pStyle w:val="ListParagraph"/>
        <w:numPr>
          <w:ilvl w:val="0"/>
          <w:numId w:val="2"/>
        </w:numPr>
        <w:spacing w:after="60"/>
      </w:pPr>
      <w:r>
        <w:t xml:space="preserve">Upload any file with a title, optional tags, and an opening note</w:t>
      </w:r>
    </w:p>
    <w:p>
      <w:pPr>
        <w:pStyle w:val="ListParagraph"/>
        <w:numPr>
          <w:ilvl w:val="0"/>
          <w:numId w:val="2"/>
        </w:numPr>
        <w:spacing w:after="60"/>
      </w:pPr>
      <w:r>
        <w:t xml:space="preserve">Browse all documents with filtering by state and pagination</w:t>
      </w:r>
    </w:p>
    <w:p>
      <w:pPr>
        <w:pStyle w:val="ListParagraph"/>
        <w:numPr>
          <w:ilvl w:val="0"/>
          <w:numId w:val="2"/>
        </w:numPr>
        <w:spacing w:after="60"/>
      </w:pPr>
      <w:r>
        <w:t xml:space="preserve">View full document metadata: file type, size, version, dates, and tags</w:t>
      </w:r>
    </w:p>
    <w:p>
      <w:pPr>
        <w:pStyle w:val="ListParagraph"/>
        <w:numPr>
          <w:ilvl w:val="0"/>
          <w:numId w:val="2"/>
        </w:numPr>
        <w:spacing w:after="60"/>
      </w:pPr>
      <w:r>
        <w:t xml:space="preserve">Download the original file directly from object storage</w:t>
      </w:r>
    </w:p>
    <w:p>
      <w:pPr>
        <w:pStyle w:val="ListParagraph"/>
        <w:numPr>
          <w:ilvl w:val="0"/>
          <w:numId w:val="2"/>
        </w:numPr>
        <w:spacing w:after="60"/>
      </w:pPr>
      <w:r>
        <w:t xml:space="preserve">Archive a document to move it out of the active view</w:t>
      </w:r>
    </w:p>
    <w:p>
      <w:pPr>
        <w:pStyle w:val="ListParagraph"/>
        <w:numPr>
          <w:ilvl w:val="0"/>
          <w:numId w:val="2"/>
        </w:numPr>
        <w:spacing w:after="60"/>
      </w:pPr>
      <w:r>
        <w:t xml:space="preserve">Permanently delete an archived document</w:t>
      </w:r>
    </w:p>
    <w:p>
      <w:pPr>
        <w:spacing w:after="120" w:before="0"/>
      </w:pPr>
    </w:p>
    <w:p>
      <w:pPr>
        <w:pStyle w:val="Heading2"/>
      </w:pPr>
      <w:r>
        <w:t xml:space="preserve">3.3 Notes</w:t>
      </w:r>
    </w:p>
    <w:p>
      <w:pPr>
        <w:spacing w:after="160"/>
      </w:pPr>
      <w:r>
        <w:t xml:space="preserve">Each document can carry one or more notes — free-form text annotations that capture context, decisions, or links. Notes are stored separately from the document record, meaning they can be added and updated without touching the document itself. Notes are displayed in a panel on the document detail page.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4FA" w:val="clear"/>
            <w:tcMar>
              <w:top w:type="dxa" w:w="80"/>
              <w:left w:type="dxa" w:w="180"/>
              <w:bottom w:type="dxa" w:w="80"/>
              <w:right w:type="dxa" w:w="120"/>
            </w:tcMar>
          </w:tcPr>
          <w:p>
            <w:pPr>
              <w:spacing w:after="0"/>
            </w:pPr>
            <w:r>
              <w:rPr>
                <w:b/>
                <w:bCs/>
                <w:sz w:val="20"/>
                <w:szCs w:val="20"/>
              </w:rPr>
              <w:t xml:space="preserve">Add a note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after="0"/>
            </w:pPr>
            <w:r>
              <w:rPr>
                <w:sz w:val="20"/>
                <w:szCs w:val="20"/>
              </w:rPr>
              <w:t xml:space="preserve">Write free-form text against any document. The first note can be included at upload time.</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80"/>
              <w:bottom w:type="dxa" w:w="80"/>
              <w:right w:type="dxa" w:w="120"/>
            </w:tcMar>
          </w:tcPr>
          <w:p>
            <w:pPr>
              <w:spacing w:after="0"/>
            </w:pPr>
            <w:r>
              <w:rPr>
                <w:b/>
                <w:bCs/>
                <w:sz w:val="20"/>
                <w:szCs w:val="20"/>
              </w:rPr>
              <w:t xml:space="preserve">View notes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after="0"/>
            </w:pPr>
            <w:r>
              <w:rPr>
                <w:sz w:val="20"/>
                <w:szCs w:val="20"/>
              </w:rPr>
              <w:t xml:space="preserve">All notes for a document are shown in a scrollable panel ordered by date.</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80"/>
              <w:bottom w:type="dxa" w:w="80"/>
              <w:right w:type="dxa" w:w="120"/>
            </w:tcMar>
          </w:tcPr>
          <w:p>
            <w:pPr>
              <w:spacing w:after="0"/>
            </w:pPr>
            <w:r>
              <w:rPr>
                <w:b/>
                <w:bCs/>
                <w:sz w:val="20"/>
                <w:szCs w:val="20"/>
              </w:rPr>
              <w:t xml:space="preserve">Note history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after="0"/>
            </w:pPr>
            <w:r>
              <w:rPr>
                <w:sz w:val="20"/>
                <w:szCs w:val="20"/>
              </w:rPr>
              <w:t xml:space="preserve">Each note records when it was written, providing a lightweight activity trail.</w:t>
            </w:r>
          </w:p>
        </w:tc>
      </w:tr>
    </w:tbl>
    <w:p>
      <w:pPr>
        <w:spacing w:after="120" w:before="0"/>
      </w:pPr>
    </w:p>
    <w:p>
      <w:pPr>
        <w:pStyle w:val="Heading2"/>
      </w:pPr>
      <w:r>
        <w:t xml:space="preserve">3.4 User Profile</w:t>
      </w:r>
    </w:p>
    <w:p>
      <w:pPr>
        <w:spacing w:after="160"/>
      </w:pPr>
      <w:r>
        <w:t xml:space="preserve">Authenticated users can view their own account profile, which shows their identity information, account status, and the roles they hold on the platform. This page draws live data from the user management service, so it reflects the current state of the account.</w:t>
      </w:r>
    </w:p>
    <w:p>
      <w:pPr>
        <w:spacing w:after="120" w:before="0"/>
      </w:pPr>
    </w:p>
    <w:p>
      <w:pPr>
        <w:pStyle w:val="Heading1"/>
      </w:pPr>
      <w:bookmarkStart w:name="4._Platform_Capabilities" w:id="1"/>
      <w:r>
        <w:t xml:space="preserve">4. Platform Capabilities</w:t>
      </w:r>
      <w:bookmarkEnd w:id="1"/>
    </w:p>
    <w:p>
      <w:pPr>
        <w:spacing w:after="160"/>
      </w:pPr>
      <w:r>
        <w:t xml:space="preserve">Beyond the features visible to end users, Brainwave provides a set of platform-level capabilities that make it operable and maintainable at scale.</w:t>
      </w:r>
    </w:p>
    <w:p>
      <w:pPr>
        <w:spacing w:after="120" w:before="0"/>
      </w:pPr>
    </w:p>
    <w:p>
      <w:pPr>
        <w:pStyle w:val="Heading2"/>
      </w:pPr>
      <w:r>
        <w:t xml:space="preserve">4.1 API Gateway</w:t>
      </w:r>
    </w:p>
    <w:p>
      <w:pPr>
        <w:spacing w:after="160"/>
      </w:pPr>
      <w:r>
        <w:t xml:space="preserve">All client requests — from the browser or any API consumer — enter the platform through a single gateway. The gateway is responsible for routing requests to the correct backend service, authenticating every call, and enforcing rate limits and request size constraints. No backend service is directly reachable from outside the platform.</w:t>
      </w:r>
    </w:p>
    <w:p>
      <w:pPr>
        <w:spacing w:after="120" w:before="0"/>
      </w:pPr>
    </w:p>
    <w:p>
      <w:pPr>
        <w:pStyle w:val="Heading2"/>
      </w:pPr>
      <w:r>
        <w:t xml:space="preserve">4.2 Observability</w:t>
      </w:r>
    </w:p>
    <w:p>
      <w:pPr>
        <w:spacing w:after="160"/>
      </w:pPr>
      <w:r>
        <w:t xml:space="preserve">The platform is fully instrumented across all three observability pillars. Operators have a unified view of system health at all times.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4FA" w:val="clear"/>
            <w:tcMar>
              <w:top w:type="dxa" w:w="80"/>
              <w:left w:type="dxa" w:w="180"/>
              <w:bottom w:type="dxa" w:w="80"/>
              <w:right w:type="dxa" w:w="120"/>
            </w:tcMar>
          </w:tcPr>
          <w:p>
            <w:pPr>
              <w:spacing w:after="0"/>
            </w:pPr>
            <w:r>
              <w:rPr>
                <w:b/>
                <w:bCs/>
                <w:sz w:val="20"/>
                <w:szCs w:val="20"/>
              </w:rPr>
              <w:t xml:space="preserve">Metrics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after="0"/>
            </w:pPr>
            <w:r>
              <w:rPr>
                <w:sz w:val="20"/>
                <w:szCs w:val="20"/>
              </w:rPr>
              <w:t xml:space="preserve">Every service reports request rate, error rate, and response time (the RED method). Infrastructure components (containers, host, databases) report resource usage. All metrics flow into a time-series store with a 15-day retention window.</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80"/>
              <w:bottom w:type="dxa" w:w="80"/>
              <w:right w:type="dxa" w:w="120"/>
            </w:tcMar>
          </w:tcPr>
          <w:p>
            <w:pPr>
              <w:spacing w:after="0"/>
            </w:pPr>
            <w:r>
              <w:rPr>
                <w:b/>
                <w:bCs/>
                <w:sz w:val="20"/>
                <w:szCs w:val="20"/>
              </w:rPr>
              <w:t xml:space="preserve">Logs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after="0"/>
            </w:pPr>
            <w:r>
              <w:rPr>
                <w:sz w:val="20"/>
                <w:szCs w:val="20"/>
              </w:rPr>
              <w:t xml:space="preserve">All service logs are structured JSON, automatically collected, and searchable by service, level, correlation ID, and time range. Logs from every container are shipped centrally without requiring any configuration in the services themselves.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80"/>
              <w:bottom w:type="dxa" w:w="80"/>
              <w:right w:type="dxa" w:w="120"/>
            </w:tcMar>
          </w:tcPr>
          <w:p>
            <w:pPr>
              <w:spacing w:after="0"/>
            </w:pPr>
            <w:r>
              <w:rPr>
                <w:b/>
                <w:bCs/>
                <w:sz w:val="20"/>
                <w:szCs w:val="20"/>
              </w:rPr>
              <w:t xml:space="preserve">Traces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after="0"/>
            </w:pPr>
            <w:r>
              <w:rPr>
                <w:sz w:val="20"/>
                <w:szCs w:val="20"/>
              </w:rPr>
              <w:t xml:space="preserve">Every request that enters the platform can be traced end-to-end across services. Traces connect log lines to spans and spans to service dependency graphs, making it possible to see exactly which services were involved in any given request and how long each step took.</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80"/>
              <w:bottom w:type="dxa" w:w="80"/>
              <w:right w:type="dxa" w:w="120"/>
            </w:tcMar>
          </w:tcPr>
          <w:p>
            <w:pPr>
              <w:spacing w:after="0"/>
            </w:pPr>
            <w:r>
              <w:rPr>
                <w:b/>
                <w:bCs/>
                <w:sz w:val="20"/>
                <w:szCs w:val="20"/>
              </w:rPr>
              <w:t xml:space="preserve">Dashboards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after="0"/>
            </w:pPr>
            <w:r>
              <w:rPr>
                <w:sz w:val="20"/>
                <w:szCs w:val="20"/>
              </w:rPr>
              <w:t xml:space="preserve">Grafana provides pre-built dashboards for service health, log exploration, and distributed traces. All three data sources are cross-linked — a spike in the metrics dashboard can be drilled into logs and traces in a single click.</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80"/>
              <w:bottom w:type="dxa" w:w="80"/>
              <w:right w:type="dxa" w:w="120"/>
            </w:tcMar>
          </w:tcPr>
          <w:p>
            <w:pPr>
              <w:spacing w:after="0"/>
            </w:pPr>
            <w:r>
              <w:rPr>
                <w:b/>
                <w:bCs/>
                <w:sz w:val="20"/>
                <w:szCs w:val="20"/>
              </w:rPr>
              <w:t xml:space="preserve">Alerting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after="0"/>
            </w:pPr>
            <w:r>
              <w:rPr>
                <w:sz w:val="20"/>
                <w:szCs w:val="20"/>
              </w:rPr>
              <w:t xml:space="preserve">Multi-burn-rate SLO alerts fire when the platform is consuming its error budget too fast. A fast-burn alert fires within minutes of a severe incident; a slow-burn alert fires before a gradual degradation exhausts the monthly budget.</w:t>
            </w:r>
          </w:p>
        </w:tc>
      </w:tr>
    </w:tbl>
    <w:p>
      <w:pPr>
        <w:spacing w:after="120" w:before="0"/>
      </w:pPr>
    </w:p>
    <w:p>
      <w:pPr>
        <w:pStyle w:val="Heading2"/>
      </w:pPr>
      <w:r>
        <w:t xml:space="preserve">4.3 Governance UI</w:t>
      </w:r>
    </w:p>
    <w:p>
      <w:pPr>
        <w:spacing w:after="160"/>
      </w:pPr>
      <w:r>
        <w:t xml:space="preserve">The Brainwave web application includes a dedicated Observability page that gives the operator quick access to every management interface from one place: metrics dashboards, log explorer, trace viewer, alerting status, API gateway admin, identity provider admin, object storage console, and infrastructure exporters.</w:t>
      </w:r>
    </w:p>
    <w:p>
      <w:pPr>
        <w:spacing w:after="120" w:before="0"/>
      </w:pPr>
    </w:p>
    <w:p>
      <w:pPr>
        <w:pStyle w:val="Heading1"/>
      </w:pPr>
      <w:bookmarkStart w:name="5._Component_Map" w:id="1"/>
      <w:r>
        <w:t xml:space="preserve">5. Component Map</w:t>
      </w:r>
      <w:bookmarkEnd w:id="1"/>
    </w:p>
    <w:p>
      <w:pPr>
        <w:spacing w:after="160"/>
      </w:pPr>
      <w:r>
        <w:t xml:space="preserve">Brainwave is composed of independently deployable services, each with a single responsibility.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pPr>
              <w:spacing w:after="0"/>
            </w:pPr>
            <w:r>
              <w:rPr>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pPr>
              <w:spacing w:after="0"/>
              <w:jc w:val="center"/>
            </w:pPr>
            <w:r>
              <w:rPr>
                <w:b/>
                <w:bCs/>
                <w:color w:val="FFFFFF"/>
                <w:sz w:val="20"/>
                <w:szCs w:val="20"/>
              </w:rPr>
              <w:t xml:space="preserve">Status</w:t>
            </w:r>
          </w:p>
        </w:tc>
        <w:tc>
          <w:tcPr>
            <w:tcW w:type="dxa" w:w="39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pPr>
              <w:spacing w:after="0"/>
            </w:pPr>
            <w:r>
              <w:rPr>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Web UI</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b/>
                <w:bCs/>
                <w:color w:val="2E7D32"/>
                <w:sz w:val="18"/>
                <w:szCs w:val="18"/>
              </w:rPr>
              <w:t xml:space="preserve">Live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Single-page application — the browser-based interface users interact with.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API Gateway (Kong)</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b/>
                <w:bCs/>
                <w:color w:val="2E7D32"/>
                <w:sz w:val="18"/>
                <w:szCs w:val="18"/>
              </w:rPr>
              <w:t xml:space="preserve">Live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Single entry point for all API traffic. Handles authentication verification, routing, and rate limiting.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AuthHub</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b/>
                <w:bCs/>
                <w:color w:val="2E7D32"/>
                <w:sz w:val="18"/>
                <w:szCs w:val="18"/>
              </w:rPr>
              <w:t xml:space="preserve">Live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Authentication facade. Manages login flows, token issuance, and session refresh by coordinating with the identity provider.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UserHub</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b/>
                <w:bCs/>
                <w:color w:val="2E7D32"/>
                <w:sz w:val="18"/>
                <w:szCs w:val="18"/>
              </w:rPr>
              <w:t xml:space="preserve">Live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User lifecycle service. Owns the account record, enforces the account state machine, and manages role assignments.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KnowHub</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b/>
                <w:bCs/>
                <w:color w:val="2E7D32"/>
                <w:sz w:val="18"/>
                <w:szCs w:val="18"/>
              </w:rPr>
              <w:t xml:space="preserve">Live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Document management service. Handles upload, storage, metadata, notes, and the document lifecycle state machine.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Keycloak (Identity)</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b/>
                <w:bCs/>
                <w:color w:val="2E7D32"/>
                <w:sz w:val="18"/>
                <w:szCs w:val="18"/>
              </w:rPr>
              <w:t xml:space="preserve">Live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Federated identity provider. Stores credentials and issues signed tokens used across the platform.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PostgreSQL</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b/>
                <w:bCs/>
                <w:color w:val="2E7D32"/>
                <w:sz w:val="18"/>
                <w:szCs w:val="18"/>
              </w:rPr>
              <w:t xml:space="preserve">Live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Relational database for structured, transactional data — user accounts and document metadata.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MongoDB</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b/>
                <w:bCs/>
                <w:color w:val="2E7D32"/>
                <w:sz w:val="18"/>
                <w:szCs w:val="18"/>
              </w:rPr>
              <w:t xml:space="preserve">Live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Document store for semi-structured content — notes and document payloads.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MinIO</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b/>
                <w:bCs/>
                <w:color w:val="2E7D32"/>
                <w:sz w:val="18"/>
                <w:szCs w:val="18"/>
              </w:rPr>
              <w:t xml:space="preserve">Live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S3-compatible object storage for binary file content.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Prometheus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b/>
                <w:bCs/>
                <w:color w:val="2E7D32"/>
                <w:sz w:val="18"/>
                <w:szCs w:val="18"/>
              </w:rPr>
              <w:t xml:space="preserve">Live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Metrics collection and alerting rule evaluation.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Grafana</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b/>
                <w:bCs/>
                <w:color w:val="2E7D32"/>
                <w:sz w:val="18"/>
                <w:szCs w:val="18"/>
              </w:rPr>
              <w:t xml:space="preserve">Live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Unified dashboards for metrics, logs, and traces.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Loki + Promtail</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b/>
                <w:bCs/>
                <w:color w:val="2E7D32"/>
                <w:sz w:val="18"/>
                <w:szCs w:val="18"/>
              </w:rPr>
              <w:t xml:space="preserve">Live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Log aggregation pipeline. Promtail collects container logs; Loki stores and indexes them.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Tempo + OTel Collector</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b/>
                <w:bCs/>
                <w:color w:val="2E7D32"/>
                <w:sz w:val="18"/>
                <w:szCs w:val="18"/>
              </w:rPr>
              <w:t xml:space="preserve">Live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Distributed tracing pipeline. The collector receives traces from services and forwards them to Tempo.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Alertmanager</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b/>
                <w:bCs/>
                <w:color w:val="2E7D32"/>
                <w:sz w:val="18"/>
                <w:szCs w:val="18"/>
              </w:rPr>
              <w:t xml:space="preserve">Live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Alert routing and deduplication. Routes SLO breach and infrastructure alerts.</w:t>
            </w:r>
          </w:p>
        </w:tc>
      </w:tr>
    </w:tbl>
    <w:p>
      <w:pPr>
        <w:spacing w:after="120" w:before="0"/>
      </w:pPr>
    </w:p>
    <w:p>
      <w:pPr>
        <w:pStyle w:val="Heading1"/>
      </w:pPr>
      <w:bookmarkStart w:name="6._Out_of_Scope_(MVP)" w:id="1"/>
      <w:r>
        <w:t xml:space="preserve">6. Out of Scope (MVP)</w:t>
      </w:r>
      <w:bookmarkEnd w:id="1"/>
    </w:p>
    <w:p>
      <w:pPr>
        <w:spacing w:after="160"/>
      </w:pPr>
      <w:r>
        <w:t xml:space="preserve">The following capabilities are intentionally deferred to keep the MVP focused:</w:t>
      </w:r>
    </w:p>
    <w:p>
      <w:pPr>
        <w:spacing w:after="60" w:before="0"/>
      </w:pPr>
    </w:p>
    <w:p>
      <w:pPr>
        <w:pStyle w:val="ListParagraph"/>
        <w:numPr>
          <w:ilvl w:val="0"/>
          <w:numId w:val="2"/>
        </w:numPr>
        <w:spacing w:after="60"/>
      </w:pPr>
      <w:r>
        <w:t xml:space="preserve">Multi-tenancy (all users share a single realm)</w:t>
      </w:r>
    </w:p>
    <w:p>
      <w:pPr>
        <w:pStyle w:val="ListParagraph"/>
        <w:numPr>
          <w:ilvl w:val="0"/>
          <w:numId w:val="2"/>
        </w:numPr>
        <w:spacing w:after="60"/>
      </w:pPr>
      <w:r>
        <w:t xml:space="preserve">Real-time collaboration on documents</w:t>
      </w:r>
    </w:p>
    <w:p>
      <w:pPr>
        <w:pStyle w:val="ListParagraph"/>
        <w:numPr>
          <w:ilvl w:val="0"/>
          <w:numId w:val="2"/>
        </w:numPr>
        <w:spacing w:after="60"/>
      </w:pPr>
      <w:r>
        <w:t xml:space="preserve">Full-text search across document content</w:t>
      </w:r>
    </w:p>
    <w:p>
      <w:pPr>
        <w:pStyle w:val="ListParagraph"/>
        <w:numPr>
          <w:ilvl w:val="0"/>
          <w:numId w:val="2"/>
        </w:numPr>
        <w:spacing w:after="60"/>
      </w:pPr>
      <w:r>
        <w:t xml:space="preserve">Document version history and diff comparison</w:t>
      </w:r>
    </w:p>
    <w:p>
      <w:pPr>
        <w:pStyle w:val="ListParagraph"/>
        <w:numPr>
          <w:ilvl w:val="0"/>
          <w:numId w:val="2"/>
        </w:numPr>
        <w:spacing w:after="60"/>
      </w:pPr>
      <w:r>
        <w:t xml:space="preserve">Email or push notifications</w:t>
      </w:r>
    </w:p>
    <w:p>
      <w:pPr>
        <w:pStyle w:val="ListParagraph"/>
        <w:numPr>
          <w:ilvl w:val="0"/>
          <w:numId w:val="2"/>
        </w:numPr>
        <w:spacing w:after="60"/>
      </w:pPr>
      <w:r>
        <w:t xml:space="preserve">Mobile application</w:t>
      </w:r>
    </w:p>
    <w:p>
      <w:pPr>
        <w:pStyle w:val="ListParagraph"/>
        <w:numPr>
          <w:ilvl w:val="0"/>
          <w:numId w:val="2"/>
        </w:numPr>
        <w:spacing w:after="60"/>
      </w:pPr>
      <w:r>
        <w:t xml:space="preserve">Role-based access control at the document level (e.g. share a document with specific users)</w:t>
      </w:r>
    </w:p>
    <w:p>
      <w:pPr>
        <w:pStyle w:val="ListParagraph"/>
        <w:numPr>
          <w:ilvl w:val="0"/>
          <w:numId w:val="2"/>
        </w:numPr>
        <w:spacing w:after="60"/>
      </w:pPr>
      <w:r>
        <w:t xml:space="preserve">Payment or subscription tiers</w:t>
      </w:r>
    </w:p>
    <w:p>
      <w:pPr>
        <w:spacing w:after="120" w:before="0"/>
      </w:pPr>
    </w:p>
    <w:p>
      <w:pPr>
        <w:pStyle w:val="Heading1"/>
      </w:pPr>
      <w:bookmarkStart w:name="7._Design_Principles" w:id="1"/>
      <w:r>
        <w:t xml:space="preserve">7. Design Principles</w:t>
      </w:r>
      <w:bookmarkEnd w:id="1"/>
    </w:p>
    <w:p>
      <w:pPr>
        <w:spacing w:after="160"/>
      </w:pPr>
      <w:r>
        <w:t xml:space="preserve">The decisions made throughout the Brainwave build were guided by a consistent set of principles rather than convenience: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4FA" w:val="clear"/>
            <w:tcMar>
              <w:top w:type="dxa" w:w="80"/>
              <w:left w:type="dxa" w:w="180"/>
              <w:bottom w:type="dxa" w:w="80"/>
              <w:right w:type="dxa" w:w="120"/>
            </w:tcMar>
          </w:tcPr>
          <w:p>
            <w:pPr>
              <w:spacing w:after="0"/>
            </w:pPr>
            <w:r>
              <w:rPr>
                <w:b/>
                <w:bCs/>
                <w:sz w:val="20"/>
                <w:szCs w:val="20"/>
              </w:rPr>
              <w:t xml:space="preserve">State ownership over CRUD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after="0"/>
            </w:pPr>
            <w:r>
              <w:rPr>
                <w:sz w:val="20"/>
                <w:szCs w:val="20"/>
              </w:rPr>
              <w:t xml:space="preserve">Every domain resource (document, user account) moves through explicit states. No entity can be in an undefined state.</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80"/>
              <w:bottom w:type="dxa" w:w="80"/>
              <w:right w:type="dxa" w:w="120"/>
            </w:tcMar>
          </w:tcPr>
          <w:p>
            <w:pPr>
              <w:spacing w:after="0"/>
            </w:pPr>
            <w:r>
              <w:rPr>
                <w:b/>
                <w:bCs/>
                <w:sz w:val="20"/>
                <w:szCs w:val="20"/>
              </w:rPr>
              <w:t xml:space="preserve">Security at the boundary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after="0"/>
            </w:pPr>
            <w:r>
              <w:rPr>
                <w:sz w:val="20"/>
                <w:szCs w:val="20"/>
              </w:rPr>
              <w:t xml:space="preserve">Identity is verified once at the gateway. Services trust the verified context they receive — they do not independently validate JWT tokens.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80"/>
              <w:bottom w:type="dxa" w:w="80"/>
              <w:right w:type="dxa" w:w="120"/>
            </w:tcMar>
          </w:tcPr>
          <w:p>
            <w:pPr>
              <w:spacing w:after="0"/>
            </w:pPr>
            <w:r>
              <w:rPr>
                <w:b/>
                <w:bCs/>
                <w:sz w:val="20"/>
                <w:szCs w:val="20"/>
              </w:rPr>
              <w:t xml:space="preserve">Observable by default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after="0"/>
            </w:pPr>
            <w:r>
              <w:rPr>
                <w:sz w:val="20"/>
                <w:szCs w:val="20"/>
              </w:rPr>
              <w:t xml:space="preserve">Metrics, logs, and traces are not added as an afterthought. Every service reports RED metrics, emits structured JSON logs, and participates in the tracing pipeline.</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80"/>
              <w:bottom w:type="dxa" w:w="80"/>
              <w:right w:type="dxa" w:w="120"/>
            </w:tcMar>
          </w:tcPr>
          <w:p>
            <w:pPr>
              <w:spacing w:after="0"/>
            </w:pPr>
            <w:r>
              <w:rPr>
                <w:b/>
                <w:bCs/>
                <w:sz w:val="20"/>
                <w:szCs w:val="20"/>
              </w:rPr>
              <w:t xml:space="preserve">Cloud-native packaging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after="0"/>
            </w:pPr>
            <w:r>
              <w:rPr>
                <w:sz w:val="20"/>
                <w:szCs w:val="20"/>
              </w:rPr>
              <w:t xml:space="preserve">Every component runs in a container. The development environment is a single docker compose command. Services are stateless; state lives in dedicated stores.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80"/>
              <w:bottom w:type="dxa" w:w="80"/>
              <w:right w:type="dxa" w:w="120"/>
            </w:tcMar>
          </w:tcPr>
          <w:p>
            <w:pPr>
              <w:spacing w:after="0"/>
            </w:pPr>
            <w:r>
              <w:rPr>
                <w:b/>
                <w:bCs/>
                <w:sz w:val="20"/>
                <w:szCs w:val="20"/>
              </w:rPr>
              <w:t xml:space="preserve">Idempotency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after="0"/>
            </w:pPr>
            <w:r>
              <w:rPr>
                <w:sz w:val="20"/>
                <w:szCs w:val="20"/>
              </w:rPr>
              <w:t xml:space="preserve">Uploads carry an idempotency key. Retrying an upload does not create duplicate documents.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80"/>
              <w:bottom w:type="dxa" w:w="80"/>
              <w:right w:type="dxa" w:w="120"/>
            </w:tcMar>
          </w:tcPr>
          <w:p>
            <w:pPr>
              <w:spacing w:after="0"/>
            </w:pPr>
            <w:r>
              <w:rPr>
                <w:b/>
                <w:bCs/>
                <w:sz w:val="20"/>
                <w:szCs w:val="20"/>
              </w:rPr>
              <w:t xml:space="preserve">Separation of stores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after="0"/>
            </w:pPr>
            <w:r>
              <w:rPr>
                <w:sz w:val="20"/>
                <w:szCs w:val="20"/>
              </w:rPr>
              <w:t xml:space="preserve">Relational data (accounts, metadata) lives in PostgreSQL. Semi-structured content (notes) lives in MongoDB. Binary files live in object storage. Each store is chosen for the shape of its data.</w:t>
            </w:r>
          </w:p>
        </w:tc>
      </w:tr>
    </w:tbl>
    <w:p>
      <w:pPr>
        <w:spacing w:after="480" w:before="0"/>
      </w:pPr>
    </w:p>
    <w:p>
      <w:pPr>
        <w:pBdr>
          <w:bottom w:val="single" w:color="2C5F8A" w:sz="6" w:space="1"/>
        </w:pBdr>
        <w:spacing w:after="160" w:before="160"/>
      </w:pPr>
    </w:p>
    <w:p>
      <w:pPr>
        <w:spacing w:after="0"/>
        <w:jc w:val="center"/>
      </w:pPr>
      <w:r>
        <w:rPr>
          <w:i/>
          <w:iCs/>
          <w:color w:val="888888"/>
          <w:sz w:val="18"/>
          <w:szCs w:val="18"/>
        </w:rPr>
        <w:t xml:space="preserve">Brainwave — an upskilling project by Ahmad Awad. Not for commercial distribution.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4" w:space="1"/>
      </w:pBdr>
      <w:spacing w:before="120"/>
    </w:pPr>
    <w:r>
      <w:rPr>
        <w:rFonts w:ascii="Arial" w:cs="Arial" w:eastAsia="Arial" w:hAnsi="Arial"/>
        <w:color w:val="777777"/>
        <w:sz w:val="18"/>
        <w:szCs w:val="18"/>
      </w:rPr>
      <w:t xml:space="preserve">Brainwave MVP — </w:t>
    </w:r>
    <w:r>
      <w:rPr>
        <w:rFonts w:ascii="Arial" w:cs="Arial" w:eastAsia="Arial" w:hAnsi="Arial"/>
        <w:color w:val="777777"/>
        <w:sz w:val="18"/>
        <w:szCs w:val="18"/>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1"/>
      </w:pBdr>
      <w:spacing w:after="120"/>
    </w:pPr>
    <w:r>
      <w:rPr>
        <w:rFonts w:ascii="Arial" w:cs="Arial" w:eastAsia="Arial" w:hAnsi="Arial"/>
        <w:b/>
        <w:bCs/>
        <w:color w:val="2C5F8A"/>
        <w:sz w:val="20"/>
        <w:szCs w:val="20"/>
      </w:rPr>
      <w:t xml:space="preserve">Brainwave </w:t>
    </w:r>
    <w:r>
      <w:rPr>
        <w:rFonts w:ascii="Arial" w:cs="Arial" w:eastAsia="Arial" w:hAnsi="Arial"/>
        <w:color w:val="777777"/>
        <w:sz w:val="20"/>
        <w:szCs w:val="20"/>
      </w:rPr>
      <w:t xml:space="preserve">— Knowledge Management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5F8A" w:sz="4" w:space="1"/>
      </w:pBdr>
      <w:spacing w:after="120" w:before="360"/>
      <w:outlineLvl w:val="0"/>
    </w:pPr>
    <w:rPr>
      <w:rFonts w:ascii="Arial" w:cs="Arial" w:eastAsia="Arial" w:hAnsi="Arial"/>
      <w:b/>
      <w:bCs/>
      <w:color w:val="1A3A54"/>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C5F8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A7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2026-05-13T11:16:42.234Z</dcterms:created>
  <dcterms:modified xsi:type="dcterms:W3CDTF">2026-05-13T11:16:42.234Z</dcterms:modified>
</cp:coreProperties>
</file>

<file path=docProps/custom.xml><?xml version="1.0" encoding="utf-8"?>
<Properties xmlns="http://schemas.openxmlformats.org/officeDocument/2006/custom-properties" xmlns:vt="http://schemas.openxmlformats.org/officeDocument/2006/docPropsVTypes"/>
</file>