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2E5FA3"/>
          <w:sz w:val="52"/>
          <w:szCs w:val="52"/>
        </w:rPr>
        <w:t xml:space="preserve">BRAINWAVE</w:t>
      </w:r>
    </w:p>
    <w:p>
      <w:pPr>
        <w:spacing w:after="80" w:before="0"/>
        <w:jc w:val="center"/>
      </w:pPr>
      <w:r>
        <w:rPr>
          <w:rFonts w:ascii="Arial" w:cs="Arial" w:eastAsia="Arial" w:hAnsi="Arial"/>
          <w:color w:val="555555"/>
          <w:sz w:val="28"/>
          <w:szCs w:val="28"/>
        </w:rPr>
        <w:t xml:space="preserve">Technical Design Document</w:t>
      </w:r>
    </w:p>
    <w:p>
      <w:pPr>
        <w:spacing w:after="400" w:before="0"/>
        <w:jc w:val="center"/>
      </w:pPr>
      <w:r>
        <w:rPr>
          <w:rFonts w:ascii="Arial" w:cs="Arial" w:eastAsia="Arial" w:hAnsi="Arial"/>
          <w:b/>
          <w:bCs/>
          <w:color w:val="1A1A2E"/>
          <w:sz w:val="32"/>
          <w:szCs w:val="32"/>
        </w:rPr>
        <w:t xml:space="preserve">Component: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Ahmad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2026-05-12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Upskilling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Brainwave Services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TDD v2.0, AuthHub TDD v2.0, KnowHub TDD v2.0</w:t>
            </w:r>
          </w:p>
        </w:tc>
      </w:tr>
    </w:tbl>
    <w:p>
      <w:pPr>
        <w:spacing w:after="80" w:before="240"/>
      </w:pPr>
      <w:r>
        <w:t xml:space="preserve"/>
      </w:r>
    </w:p>
    <w:p>
      <w:pPr>
        <w:spacing w:after="400" w:before="120"/>
        <w:jc w:val="center"/>
      </w:pPr>
      <w:r>
        <w:rPr>
          <w:rFonts w:ascii="Arial" w:cs="Arial" w:eastAsia="Arial" w:hAnsi="Arial"/>
          <w:i/>
          <w:iCs/>
          <w:color w:val="555555"/>
          <w:sz w:val="22"/>
          <w:szCs w:val="22"/>
        </w:rPr>
        <w:t xml:space="preserve">“You cannot improve what you cannot measure. You cannot trust what you cannot observe.”</w:t>
      </w:r>
    </w:p>
    <w:p>
      <w:r>
        <w:br w:type="page"/>
      </w:r>
    </w:p>
    <w:p>
      <w:pPr>
        <w:pStyle w:val="Heading1"/>
        <w:spacing w:after="160" w:before="320"/>
      </w:pPr>
      <w:r>
        <w:rPr>
          <w:rFonts w:ascii="Arial" w:cs="Arial" w:eastAsia="Arial" w:hAnsi="Arial"/>
          <w:b/>
          <w:bCs/>
          <w:color w:val="1A1A2E"/>
          <w:sz w:val="32"/>
          <w:szCs w:val="32"/>
        </w:rPr>
        <w:t xml:space="preserve">1. Overview &amp; Purpose</w:t>
      </w:r>
    </w:p>
    <w:p>
      <w:pPr>
        <w:spacing w:after="120" w:before="80"/>
      </w:pPr>
      <w:r>
        <w:rPr>
          <w:rFonts w:ascii="Arial" w:cs="Arial" w:eastAsia="Arial" w:hAnsi="Arial"/>
          <w:sz w:val="22"/>
          <w:szCs w:val="22"/>
        </w:rPr>
        <w:t xml:space="preserve">This document defines the observability and monitoring architecture for Brainwave. It covers the full signal chain: how metrics are emitted, collected, stored, and visualised; how logs are aggregated and queried; how distributed traces cross service boundaries; and how alerts fire when the system deviates from expected behaviour.</w:t>
      </w:r>
    </w:p>
    <w:p>
      <w:pPr>
        <w:spacing w:after="120" w:before="80"/>
      </w:pPr>
      <w:r>
        <w:rPr>
          <w:rFonts w:ascii="Arial" w:cs="Arial" w:eastAsia="Arial" w:hAnsi="Arial"/>
          <w:sz w:val="22"/>
          <w:szCs w:val="22"/>
        </w:rPr>
        <w:t xml:space="preserve">Observability is not monitoring. Monitoring asks pre-defined questions: "Is the service up?" Observability lets you ask any question about system behaviour from the outside, without deploying new code. This document builds the infrastructure for both.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2E5FA3"/>
                <w:sz w:val="20"/>
                <w:szCs w:val="20"/>
              </w:rPr>
              <w:t xml:space="preserve">THE CORE PROBLEM THIS SOLVES</w:t>
            </w:r>
          </w:p>
          <w:p>
            <w:r>
              <w:rPr>
                <w:rFonts w:ascii="Arial" w:cs="Arial" w:eastAsia="Arial" w:hAnsi="Arial"/>
                <w:sz w:val="20"/>
                <w:szCs w:val="20"/>
              </w:rPr>
              <w:t xml:space="preserve">Brainwave is a distributed system. A single user request touches Kong, AuthHub, UserHub, KnowHub, PostgreSQL, MongoDB, and MinIO. When something goes wrong, the question is never just "which service failed?" It is: what was the request path, at what latency, with what error rate, and what state was each service in at that moment? Without observability infrastructure, that question is unanswerable. Engineers stare at four separate log files and guess.</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1.1 The Three Pillars of Observability</w:t>
      </w:r>
    </w:p>
    <w:p>
      <w:pPr>
        <w:spacing w:after="120" w:before="80"/>
      </w:pPr>
      <w:r>
        <w:rPr>
          <w:rFonts w:ascii="Arial" w:cs="Arial" w:eastAsia="Arial" w:hAnsi="Arial"/>
          <w:sz w:val="22"/>
          <w:szCs w:val="22"/>
        </w:rPr>
        <w:t xml:space="preserve">Observability theory defines three data types that together give complete system visibility: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How fast? How often? — Aggregated numbers over time: request rate, error rate, latency percentiles, CPU, memory.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 Grafana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happened? — Discrete event records: a request came in, a document was archived, a token was rejected. Structured text.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 + Grafana (see Logging TDD)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did time go? — The path of a single request across all services with per-hop timing. Reveals bottlenecks invisible to metrics.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 + Grafana</w:t>
            </w:r>
          </w:p>
        </w:tc>
      </w:tr>
    </w:tbl>
    <w:p>
      <w:pPr>
        <w:spacing w:after="80" w:before="80"/>
      </w:pPr>
      <w:r>
        <w:t xml:space="preserve"/>
      </w:r>
    </w:p>
    <w:p>
      <w:pPr>
        <w:spacing w:after="120" w:before="80"/>
      </w:pPr>
      <w:r>
        <w:rPr>
          <w:rFonts w:ascii="Arial" w:cs="Arial" w:eastAsia="Arial" w:hAnsi="Arial"/>
          <w:sz w:val="22"/>
          <w:szCs w:val="22"/>
        </w:rPr>
        <w:t xml:space="preserve">Brainwave implements all three pillars. They are complementary, not redundant. A high latency alert (metric) tells you something is slow. A trace tells you which service and which operation. Logs tell you what that operation was doing. Used together, they eliminate guesswork from incident response.</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1.2 Observability vs.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Monitoring</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Observability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Asks predefined questions: "Is the CPU above 80%?"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you ask any question: "Why did this specific user's request take 8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you to predict failure modes in advance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for failure modes you didn't anticipate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 built before the incident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 built during the incident from raw signals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Sufficient for simple, single-process applications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distributed systems with emergent failure modes</w:t>
            </w:r>
          </w:p>
        </w:tc>
      </w:tr>
    </w:tbl>
    <w:p>
      <w:pPr>
        <w:spacing w:after="80" w:before="80"/>
      </w:pPr>
      <w:r>
        <w:t xml:space="preserve"/>
      </w:r>
    </w:p>
    <w:p>
      <w:pPr>
        <w:spacing w:after="120" w:before="80"/>
      </w:pPr>
      <w:r>
        <w:rPr>
          <w:rFonts w:ascii="Arial" w:cs="Arial" w:eastAsia="Arial" w:hAnsi="Arial"/>
          <w:sz w:val="22"/>
          <w:szCs w:val="22"/>
        </w:rPr>
        <w:t xml:space="preserve">Brainwave implements monitoring (pre-defined dashboards, SLO alerts) and observability (raw metric/log/trace exploration). The former is for routine operations. The latter is for incidents.</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1.3 Goals</w:t>
      </w:r>
    </w:p>
    <w:p>
      <w:pPr>
        <w:pStyle w:val="ListParagraph"/>
        <w:numPr>
          <w:ilvl w:val="0"/>
          <w:numId w:val="2"/>
        </w:numPr>
        <w:spacing w:after="40" w:before="40"/>
      </w:pPr>
      <w:r>
        <w:rPr>
          <w:rFonts w:ascii="Arial" w:cs="Arial" w:eastAsia="Arial" w:hAnsi="Arial"/>
          <w:sz w:val="22"/>
          <w:szCs w:val="22"/>
        </w:rPr>
        <w:t xml:space="preserve">Any engineer can determine the health of any service within 30 seconds of opening Grafana.</w:t>
      </w:r>
    </w:p>
    <w:p>
      <w:pPr>
        <w:pStyle w:val="ListParagraph"/>
        <w:numPr>
          <w:ilvl w:val="0"/>
          <w:numId w:val="2"/>
        </w:numPr>
        <w:spacing w:after="40" w:before="40"/>
      </w:pPr>
      <w:r>
        <w:rPr>
          <w:rFonts w:ascii="Arial" w:cs="Arial" w:eastAsia="Arial" w:hAnsi="Arial"/>
          <w:sz w:val="22"/>
          <w:szCs w:val="22"/>
        </w:rPr>
        <w:t xml:space="preserve">Any production incident can be reconstructed from metrics, logs, and traces without requiring a reproduction.</w:t>
      </w:r>
    </w:p>
    <w:p>
      <w:pPr>
        <w:pStyle w:val="ListParagraph"/>
        <w:numPr>
          <w:ilvl w:val="0"/>
          <w:numId w:val="2"/>
        </w:numPr>
        <w:spacing w:after="40" w:before="40"/>
      </w:pPr>
      <w:r>
        <w:rPr>
          <w:rFonts w:ascii="Arial" w:cs="Arial" w:eastAsia="Arial" w:hAnsi="Arial"/>
          <w:sz w:val="22"/>
          <w:szCs w:val="22"/>
        </w:rPr>
        <w:t xml:space="preserve">SLO breaches are detected automatically and routed to the right person before users notice.</w:t>
      </w:r>
    </w:p>
    <w:p>
      <w:pPr>
        <w:pStyle w:val="ListParagraph"/>
        <w:numPr>
          <w:ilvl w:val="0"/>
          <w:numId w:val="2"/>
        </w:numPr>
        <w:spacing w:after="40" w:before="40"/>
      </w:pPr>
      <w:r>
        <w:rPr>
          <w:rFonts w:ascii="Arial" w:cs="Arial" w:eastAsia="Arial" w:hAnsi="Arial"/>
          <w:sz w:val="22"/>
          <w:szCs w:val="22"/>
        </w:rPr>
        <w:t xml:space="preserve">Observability infrastructure has zero impact on the hot path of any business operation.</w:t>
      </w:r>
    </w:p>
    <w:p>
      <w:pPr>
        <w:pStyle w:val="ListParagraph"/>
        <w:numPr>
          <w:ilvl w:val="0"/>
          <w:numId w:val="2"/>
        </w:numPr>
        <w:spacing w:after="40" w:before="40"/>
      </w:pPr>
      <w:r>
        <w:rPr>
          <w:rFonts w:ascii="Arial" w:cs="Arial" w:eastAsia="Arial" w:hAnsi="Arial"/>
          <w:sz w:val="22"/>
          <w:szCs w:val="22"/>
        </w:rPr>
        <w:t xml:space="preserve">No PII, credentials, or business payload appears in any metric label, log line, or trace attribute.</w:t>
      </w:r>
    </w:p>
    <w:p>
      <w:pPr>
        <w:pStyle w:val="ListParagraph"/>
        <w:numPr>
          <w:ilvl w:val="0"/>
          <w:numId w:val="2"/>
        </w:numPr>
        <w:spacing w:after="40" w:before="40"/>
      </w:pPr>
      <w:r>
        <w:rPr>
          <w:rFonts w:ascii="Arial" w:cs="Arial" w:eastAsia="Arial" w:hAnsi="Arial"/>
          <w:sz w:val="22"/>
          <w:szCs w:val="22"/>
        </w:rPr>
        <w:t xml:space="preserve">The full observability stack runs locally in Docker Compose for development.</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1.4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2E5FA3"/>
                <w:sz w:val="20"/>
                <w:szCs w:val="20"/>
              </w:rPr>
              <w:t xml:space="preserve">OUT OF SCOPE</w:t>
            </w:r>
          </w:p>
          <w:p>
            <w:r>
              <w:rPr>
                <w:rFonts w:ascii="Arial" w:cs="Arial" w:eastAsia="Arial" w:hAnsi="Arial"/>
                <w:sz w:val="20"/>
                <w:szCs w:val="20"/>
              </w:rPr>
              <w:t xml:space="preserve">Business intelligence and analytics pipelines. Production on-call runbook definitions. Log storage retention policies beyond what is stated here. Synthetic monitoring or end-to-end test automation. Cost optimisation of cloud-hosted observability tools (this is a local dev stack).</w:t>
            </w:r>
          </w:p>
        </w:tc>
      </w:tr>
    </w:tbl>
    <w:p>
      <w:r>
        <w:br w:type="page"/>
      </w:r>
    </w:p>
    <w:p>
      <w:pPr>
        <w:pStyle w:val="Heading1"/>
        <w:spacing w:after="160" w:before="320"/>
      </w:pPr>
      <w:r>
        <w:rPr>
          <w:rFonts w:ascii="Arial" w:cs="Arial" w:eastAsia="Arial" w:hAnsi="Arial"/>
          <w:b/>
          <w:bCs/>
          <w:color w:val="1A1A2E"/>
          <w:sz w:val="32"/>
          <w:szCs w:val="32"/>
        </w:rPr>
        <w:t xml:space="preserve">2. Design Principles</w:t>
      </w:r>
    </w:p>
    <w:p>
      <w:pPr>
        <w:pStyle w:val="Heading2"/>
        <w:spacing w:after="120" w:before="240"/>
      </w:pPr>
      <w:r>
        <w:rPr>
          <w:rFonts w:ascii="Arial" w:cs="Arial" w:eastAsia="Arial" w:hAnsi="Arial"/>
          <w:b/>
          <w:bCs/>
          <w:color w:val="2E5FA3"/>
          <w:sz w:val="28"/>
          <w:szCs w:val="28"/>
        </w:rPr>
        <w:t xml:space="preserve">2.1 Observe Without Interfering</w:t>
      </w:r>
    </w:p>
    <w:p>
      <w:pPr>
        <w:spacing w:after="120" w:before="80"/>
      </w:pPr>
      <w:r>
        <w:rPr>
          <w:rFonts w:ascii="Arial" w:cs="Arial" w:eastAsia="Arial" w:hAnsi="Arial"/>
          <w:sz w:val="22"/>
          <w:szCs w:val="22"/>
        </w:rPr>
        <w:t xml:space="preserve">The golden rule of observability infrastructure: it must never change the behaviour it is measuring. Specifically:</w:t>
      </w:r>
    </w:p>
    <w:p>
      <w:pPr>
        <w:pStyle w:val="ListParagraph"/>
        <w:numPr>
          <w:ilvl w:val="0"/>
          <w:numId w:val="2"/>
        </w:numPr>
        <w:spacing w:after="40" w:before="40"/>
      </w:pPr>
      <w:r>
        <w:rPr>
          <w:rFonts w:ascii="Arial" w:cs="Arial" w:eastAsia="Arial" w:hAnsi="Arial"/>
          <w:sz w:val="22"/>
          <w:szCs w:val="22"/>
        </w:rPr>
        <w:t xml:space="preserve">No observability call blocks a request handler. All metric writes are in-process, non-blocking increments.</w:t>
      </w:r>
    </w:p>
    <w:p>
      <w:pPr>
        <w:pStyle w:val="ListParagraph"/>
        <w:numPr>
          <w:ilvl w:val="0"/>
          <w:numId w:val="2"/>
        </w:numPr>
        <w:spacing w:after="40" w:before="40"/>
      </w:pPr>
      <w:r>
        <w:rPr>
          <w:rFonts w:ascii="Arial" w:cs="Arial" w:eastAsia="Arial" w:hAnsi="Arial"/>
          <w:sz w:val="22"/>
          <w:szCs w:val="22"/>
        </w:rPr>
        <w:t xml:space="preserve">No log write can fail a business operation. If the log pipeline is down, the service continues and the log is dropped.</w:t>
      </w:r>
    </w:p>
    <w:p>
      <w:pPr>
        <w:pStyle w:val="ListParagraph"/>
        <w:numPr>
          <w:ilvl w:val="0"/>
          <w:numId w:val="2"/>
        </w:numPr>
        <w:spacing w:after="40" w:before="40"/>
      </w:pPr>
      <w:r>
        <w:rPr>
          <w:rFonts w:ascii="Arial" w:cs="Arial" w:eastAsia="Arial" w:hAnsi="Arial"/>
          <w:sz w:val="22"/>
          <w:szCs w:val="22"/>
        </w:rPr>
        <w:t xml:space="preserve">Trace sampling is configured so that 100% trace collection at low traffic never blocks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00"/>
              <w:left w:type="dxa" w:w="160"/>
              <w:bottom w:type="dxa" w:w="100"/>
              <w:right w:type="dxa" w:w="160"/>
            </w:tcMar>
          </w:tcPr>
          <w:p>
            <w:r>
              <w:rPr>
                <w:rFonts w:ascii="Arial" w:cs="Arial" w:eastAsia="Arial" w:hAnsi="Arial"/>
                <w:b/>
                <w:bCs/>
                <w:color w:val="2E5FA3"/>
                <w:sz w:val="20"/>
                <w:szCs w:val="20"/>
              </w:rPr>
              <w:t xml:space="preserve">CONCRETE RULE</w:t>
            </w:r>
          </w:p>
          <w:p>
            <w:r>
              <w:rPr>
                <w:rFonts w:ascii="Arial" w:cs="Arial" w:eastAsia="Arial" w:hAnsi="Arial"/>
                <w:sz w:val="20"/>
                <w:szCs w:val="20"/>
              </w:rPr>
              <w:t xml:space="preserve">A prom-client counter increment takes ~200 nanoseconds. A synchronous HTTP call to an external metrics endpoint takes ~5 milliseconds. The former is acceptable on the hot path. The latter is not. Every instrumentation choice in this document is evaluated by this standard.</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2.2 Cardinality Is the Enemy</w:t>
      </w:r>
    </w:p>
    <w:p>
      <w:pPr>
        <w:spacing w:after="120" w:before="80"/>
      </w:pPr>
      <w:r>
        <w:rPr>
          <w:rFonts w:ascii="Arial" w:cs="Arial" w:eastAsia="Arial" w:hAnsi="Arial"/>
          <w:sz w:val="22"/>
          <w:szCs w:val="22"/>
        </w:rPr>
        <w:t xml:space="preserve">Prometheus stores time series. Each unique combination of metric name + label values is one time series. High cardinality — many unique label values — causes Prometheus to consume unbounded memory and disk, and degrades query performance catastrophically.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WRONG — High Cardinality</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RIGHT — Bounded Cardinality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user_id=a1b2c3...  (millions of users = millions of series)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status_code=404  (bounded enum)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document_id=uuid  (unbounded)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service=know-hub  (fixed 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url=/docs/a1b2c3  (unique per request)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route=/docs/:id  (template, not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timestamp=...  (every second = millions of series)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Prometheus timestamps, not label values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2E5FA3"/>
                <w:sz w:val="20"/>
                <w:szCs w:val="20"/>
              </w:rPr>
              <w:t xml:space="preserve">CARDINALITY RULE</w:t>
            </w:r>
          </w:p>
          <w:p>
            <w:r>
              <w:rPr>
                <w:rFonts w:ascii="Arial" w:cs="Arial" w:eastAsia="Arial" w:hAnsi="Arial"/>
                <w:sz w:val="20"/>
                <w:szCs w:val="20"/>
              </w:rPr>
              <w:t xml:space="preserve">A label value must come from a bounded, enumerable set. If a label value can contain a user ID, document ID, UUID, or any unbounded string — it is forbidden as a metric label. Use it in logs instead.</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2.3 The RED Method for Services</w:t>
      </w:r>
    </w:p>
    <w:p>
      <w:pPr>
        <w:spacing w:after="120" w:before="80"/>
      </w:pPr>
      <w:r>
        <w:rPr>
          <w:rFonts w:ascii="Arial" w:cs="Arial" w:eastAsia="Arial" w:hAnsi="Arial"/>
          <w:sz w:val="22"/>
          <w:szCs w:val="22"/>
        </w:rPr>
        <w:t xml:space="preserve">Every HTTP and gRPC service is instrumented with the RED method — the minimum viable set of signals for understanding service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It Reveals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http_requests_total (counter)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 per second — baseline traffic level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http_requests_total{status="5xx"}</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 — percentage of requests failing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http_request_duration_seconds (histogram)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distribution — p50, p95, p99</w:t>
            </w:r>
          </w:p>
        </w:tc>
      </w:tr>
    </w:tbl>
    <w:p>
      <w:pPr>
        <w:spacing w:after="80" w:before="80"/>
      </w:pPr>
      <w:r>
        <w:t xml:space="preserve"/>
      </w:r>
    </w:p>
    <w:p>
      <w:pPr>
        <w:spacing w:after="120" w:before="80"/>
      </w:pPr>
      <w:r>
        <w:rPr>
          <w:rFonts w:ascii="Arial" w:cs="Arial" w:eastAsia="Arial" w:hAnsi="Arial"/>
          <w:sz w:val="22"/>
          <w:szCs w:val="22"/>
        </w:rPr>
        <w:t xml:space="preserve">Infrastructure resources (CPU, memory, disk, network) use the USE method: Utilisation, Saturation, Errors. This is exposed via Node Exporter and cAdvisor, not via application code.</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2.4 Alert on Symptoms, Not Causes</w:t>
      </w:r>
    </w:p>
    <w:p>
      <w:pPr>
        <w:spacing w:after="120" w:before="80"/>
      </w:pPr>
      <w:r>
        <w:rPr>
          <w:rFonts w:ascii="Arial" w:cs="Arial" w:eastAsia="Arial" w:hAnsi="Arial"/>
          <w:sz w:val="22"/>
          <w:szCs w:val="22"/>
        </w:rPr>
        <w:t xml:space="preserve">A common observability anti-pattern: alert on CPU &gt; 80%. CPU is a cause. The symptom — the thing a user actually experiences — is slow responses or errors. Alert on the symptom. Investigate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Cause (Wrong to Alert On)</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Symptom (Correct to Alert 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utilisation &gt; 80%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latency p99 &gt; 2s for 5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&gt; 70%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 &gt; 1% for 3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&gt; 60% full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health endpoint returning non-200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 pause &gt; 100ms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 burn rate exceeding threshold</w:t>
            </w:r>
          </w:p>
        </w:tc>
      </w:tr>
    </w:tbl>
    <w:p>
      <w:pPr>
        <w:spacing w:after="80" w:before="80"/>
      </w:pPr>
      <w:r>
        <w:t xml:space="preserve"/>
      </w:r>
    </w:p>
    <w:p>
      <w:pPr>
        <w:spacing w:after="120" w:before="80"/>
      </w:pPr>
      <w:r>
        <w:rPr>
          <w:rFonts w:ascii="Arial" w:cs="Arial" w:eastAsia="Arial" w:hAnsi="Arial"/>
          <w:sz w:val="22"/>
          <w:szCs w:val="22"/>
        </w:rPr>
        <w:t xml:space="preserve">Cause-based alerts create alert fatigue: engineers get paged for CPU spikes that never impacted users. Symptom-based alerts page engineers only when users are actually affected.</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2.5 SLI / SLO / SLA Model</w:t>
      </w:r>
    </w:p>
    <w:p>
      <w:pPr>
        <w:spacing w:after="120" w:before="80"/>
      </w:pPr>
      <w:r>
        <w:rPr>
          <w:rFonts w:ascii="Arial" w:cs="Arial" w:eastAsia="Arial" w:hAnsi="Arial"/>
          <w:sz w:val="22"/>
          <w:szCs w:val="22"/>
        </w:rPr>
        <w:t xml:space="preserve">Brainwave uses a three-tier reliability model for defining what "healthy"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 (Indicator)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measurable signal of service behaviour.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fraction of requests completed in &lt; 500ms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 (Objective)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target value for an SLI. Internal commitment.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of requests complete in &lt; 500ms per 30-day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(Agreement)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contractual commitment to users. Looser than SLO.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 in this upskilling project</w:t>
            </w:r>
          </w:p>
        </w:tc>
      </w:tr>
    </w:tbl>
    <w:p>
      <w:pPr>
        <w:spacing w:after="80" w:before="80"/>
      </w:pPr>
      <w:r>
        <w:t xml:space="preserve"/>
      </w:r>
    </w:p>
    <w:p>
      <w:pPr>
        <w:spacing w:after="120" w:before="80"/>
      </w:pPr>
      <w:r>
        <w:rPr>
          <w:rFonts w:ascii="Arial" w:cs="Arial" w:eastAsia="Arial" w:hAnsi="Arial"/>
          <w:sz w:val="22"/>
          <w:szCs w:val="22"/>
        </w:rPr>
        <w:t xml:space="preserve">SLOs are implemented as Prometheus recording rules and Alertmanager alerts. A multi-burn-rate alert strategy is used: fast burn (1-hour window) catches acute incidents; slow burn (6-hour window) catches gradual degradation.</w:t>
      </w:r>
    </w:p>
    <w:p>
      <w:r>
        <w:br w:type="page"/>
      </w:r>
    </w:p>
    <w:p>
      <w:pPr>
        <w:pStyle w:val="Heading1"/>
        <w:spacing w:after="160" w:before="320"/>
      </w:pPr>
      <w:r>
        <w:rPr>
          <w:rFonts w:ascii="Arial" w:cs="Arial" w:eastAsia="Arial" w:hAnsi="Arial"/>
          <w:b/>
          <w:bCs/>
          <w:color w:val="1A1A2E"/>
          <w:sz w:val="32"/>
          <w:szCs w:val="32"/>
        </w:rPr>
        <w:t xml:space="preserve">3. Tooling Decisions &amp; Tradeoffs</w:t>
      </w:r>
    </w:p>
    <w:p>
      <w:pPr>
        <w:pStyle w:val="Heading2"/>
        <w:spacing w:after="120" w:before="240"/>
      </w:pPr>
      <w:r>
        <w:rPr>
          <w:rFonts w:ascii="Arial" w:cs="Arial" w:eastAsia="Arial" w:hAnsi="Arial"/>
          <w:b/>
          <w:bCs/>
          <w:color w:val="2E5FA3"/>
          <w:sz w:val="28"/>
          <w:szCs w:val="28"/>
        </w:rPr>
        <w:t xml:space="preserve">3.1 Metrics: Prometheus</w:t>
      </w:r>
    </w:p>
    <w:p>
      <w:pPr>
        <w:spacing w:after="120" w:before="80"/>
      </w:pPr>
      <w:r>
        <w:rPr>
          <w:rFonts w:ascii="Arial" w:cs="Arial" w:eastAsia="Arial" w:hAnsi="Arial"/>
          <w:sz w:val="22"/>
          <w:szCs w:val="22"/>
        </w:rPr>
        <w:t xml:space="preserve">Prometheus is the industry-standard open-source metrics system. It uses a pull model: Prometheus scrapes /metrics endpoints exposed by each service on a configured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Pull-based. Prometheus scrapes targets, not the other way around.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TSDB (time-series database). Efficient columnar compression.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PromQL — a functional query language for time-series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days local (dev). Extended via Thanos/Cortex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evaluates alert rules. Fires to Alertmanager.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CCCCC" w:sz="1"/>
              <w:right w:val="single" w:color="CCCCCC" w:sz="1"/>
            </w:tcBorders>
            <w:shd w:fill="EEF3FB" w:val="clear"/>
            <w:tcMar>
              <w:top w:type="dxa" w:w="120"/>
              <w:left w:type="dxa" w:w="180"/>
              <w:bottom w:type="dxa" w:w="120"/>
              <w:right w:type="dxa" w:w="180"/>
            </w:tcMar>
          </w:tcPr>
          <w:p>
            <w:r>
              <w:rPr>
                <w:rFonts w:ascii="Arial" w:cs="Arial" w:eastAsia="Arial" w:hAnsi="Arial"/>
                <w:b/>
                <w:bCs/>
                <w:caps/>
                <w:color w:val="2E5FA3"/>
                <w:sz w:val="18"/>
                <w:szCs w:val="18"/>
              </w:rPr>
              <w:t xml:space="preserve">ARCHITECTURAL DECISION</w:t>
            </w:r>
          </w:p>
          <w:p>
            <w:pPr>
              <w:spacing w:before="60"/>
            </w:pPr>
            <w:r>
              <w:rPr>
                <w:rFonts w:ascii="Arial" w:cs="Arial" w:eastAsia="Arial" w:hAnsi="Arial"/>
                <w:b/>
                <w:bCs/>
                <w:sz w:val="20"/>
                <w:szCs w:val="20"/>
              </w:rPr>
              <w:t xml:space="preserve">Decision: Prometheus for metrics collection.</w:t>
            </w:r>
          </w:p>
          <w:p>
            <w:pPr>
              <w:spacing w:before="40"/>
            </w:pPr>
            <w:r>
              <w:rPr>
                <w:rFonts w:ascii="Arial" w:cs="Arial" w:eastAsia="Arial" w:hAnsi="Arial"/>
                <w:sz w:val="20"/>
                <w:szCs w:val="20"/>
              </w:rPr>
              <w:t xml:space="preserve">Why: Pull-based scraping means Prometheus controls the collection rate and can detect when a target goes down (no scrape = target down). Push-based systems require services to know where to send data. Prometheus is the de facto standard with first-class Grafana integration, massive ecosystem, and is the foundation of Kubernetes monitoring.</w:t>
            </w:r>
          </w:p>
          <w:p>
            <w:pPr>
              <w:spacing w:before="40"/>
            </w:pPr>
            <w:r>
              <w:rPr>
                <w:rFonts w:ascii="Arial" w:cs="Arial" w:eastAsia="Arial" w:hAnsi="Arial"/>
                <w:i/>
                <w:iCs/>
                <w:sz w:val="20"/>
                <w:szCs w:val="20"/>
              </w:rPr>
              <w:t xml:space="preserve">Tradeoff: Local TSDB is not designed for multi-year retention or global aggregation. For production at scale, Prometheus is fronted by Thanos or Grafana Mimir for long-term storage and multi-instance federation. Out of scope for this local dev stack.</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3.2 Rejected Metrics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 Rejected</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When to Use Instead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Datadog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SaaS. Vendor lock-in. Cost scales with hosts and metrics, prohibitive for personal projects. No local dev story.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teams with budget and need for turnkey APM.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InfluxDB / Telegraf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Push-based model. Good for IoT and high-cardinality write loads. InfluxQL is less expressive than PromQL for rate calculations.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High-frequency sensor data. Time-series with many unique series.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UDP push, fire-and-forget. No local storage, no query layer. Designed as a relay, not a storage backend.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systems or as a Prometheus bridge.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 Azure Monitor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Cloud-specific. Vendor lock-in. Cannot run locally. Per-metric pricing.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already fully committed to AWS/Azure infrastructure.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3.3 Visualisation: Grafana</w:t>
      </w:r>
    </w:p>
    <w:p>
      <w:pPr>
        <w:spacing w:after="120" w:before="80"/>
      </w:pPr>
      <w:r>
        <w:rPr>
          <w:rFonts w:ascii="Arial" w:cs="Arial" w:eastAsia="Arial" w:hAnsi="Arial"/>
          <w:sz w:val="22"/>
          <w:szCs w:val="22"/>
        </w:rPr>
        <w:t xml:space="preserve">Grafana is the universal observability visualisation platform. It connects to Prometheus (metrics), Loki (logs), and Tempo (traces) in a single pane of glass — meaning an engineer can pivot from a metric spike to the correlated logs to the distributed trace of the slow request, all without leaving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Brainwave 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Loki, Tempo — all three connected in one Grafana instance.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health, infrastructure, business KPIs. Provisioned as JSON via Grafana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Alerting used as the alert UI. Alert rules evaluated by Prometheus, routed via Alertmanager.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PromQL, LogQL, and TraceQL queries during incidents.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Exemplars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data points linked to trace IDs. Click a latency spike, jump to the trace.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3.4 Log Aggregation: Loki</w:t>
      </w:r>
    </w:p>
    <w:p>
      <w:pPr>
        <w:spacing w:after="120" w:before="80"/>
      </w:pPr>
      <w:r>
        <w:rPr>
          <w:rFonts w:ascii="Arial" w:cs="Arial" w:eastAsia="Arial" w:hAnsi="Arial"/>
          <w:sz w:val="22"/>
          <w:szCs w:val="22"/>
        </w:rPr>
        <w:t xml:space="preserve">Loki (by Grafana Labs) is a horizontally-scalable log aggregation system. Unlike Elasticsearch, Loki does not index log content. It indexes only log labels (service, level, trace_id), and stores the raw log lines compressed. This makes it dramatically cheaper to operate than an ELK stack for the same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 agent runs as a sidecar/container, tails stdout of each service container, adds labels, ships to Loki.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LogQL — similar to PromQL. Filter by label, then grep/parse log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Labels-only index (not full-text). Log content is stored compressed, scanned at query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(MinIO in dev, S3 in prod). Very cheap per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Grafana data source. Trace IDs in logs are clickable links to Tempo traces.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CCCCC" w:sz="1"/>
              <w:right w:val="single" w:color="CCCCCC" w:sz="1"/>
            </w:tcBorders>
            <w:shd w:fill="EEF3FB" w:val="clear"/>
            <w:tcMar>
              <w:top w:type="dxa" w:w="120"/>
              <w:left w:type="dxa" w:w="180"/>
              <w:bottom w:type="dxa" w:w="120"/>
              <w:right w:type="dxa" w:w="180"/>
            </w:tcMar>
          </w:tcPr>
          <w:p>
            <w:r>
              <w:rPr>
                <w:rFonts w:ascii="Arial" w:cs="Arial" w:eastAsia="Arial" w:hAnsi="Arial"/>
                <w:b/>
                <w:bCs/>
                <w:caps/>
                <w:color w:val="2E5FA3"/>
                <w:sz w:val="18"/>
                <w:szCs w:val="18"/>
              </w:rPr>
              <w:t xml:space="preserve">ARCHITECTURAL DECISION</w:t>
            </w:r>
          </w:p>
          <w:p>
            <w:pPr>
              <w:spacing w:before="60"/>
            </w:pPr>
            <w:r>
              <w:rPr>
                <w:rFonts w:ascii="Arial" w:cs="Arial" w:eastAsia="Arial" w:hAnsi="Arial"/>
                <w:b/>
                <w:bCs/>
                <w:sz w:val="20"/>
                <w:szCs w:val="20"/>
              </w:rPr>
              <w:t xml:space="preserve">Decision: Loki over Elasticsearch (ELK stack) for log aggregation.</w:t>
            </w:r>
          </w:p>
          <w:p>
            <w:pPr>
              <w:spacing w:before="40"/>
            </w:pPr>
            <w:r>
              <w:rPr>
                <w:rFonts w:ascii="Arial" w:cs="Arial" w:eastAsia="Arial" w:hAnsi="Arial"/>
                <w:sz w:val="20"/>
                <w:szCs w:val="20"/>
              </w:rPr>
              <w:t xml:space="preserve">Why: ELK inverts the log and indexes the full content of every log line. This enables fast full-text search but at massive storage and compute cost: Elasticsearch is memory-hungry (default heap 1-2GB), operationally complex (shard management, index lifecycle policies), and expensive at scale. Loki's label-only index uses an order of magnitude less storage and memory for equivalent log volume, and integrates natively with the Grafana stack already chosen.</w:t>
            </w:r>
          </w:p>
          <w:p>
            <w:pPr>
              <w:spacing w:before="40"/>
            </w:pPr>
            <w:r>
              <w:rPr>
                <w:rFonts w:ascii="Arial" w:cs="Arial" w:eastAsia="Arial" w:hAnsi="Arial"/>
                <w:i/>
                <w:iCs/>
                <w:sz w:val="20"/>
                <w:szCs w:val="20"/>
              </w:rPr>
              <w:t xml:space="preserve">Tradeoff: Full-text search across log content is slower in Loki than Elasticsearch. For high log volumes with complex search requirements (security SIEM, compliance search), Elasticsearch remains the better choice. For operational debugging in a microservices stack, Loki is sufficient and dramatically simpler to operate.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3.5 Distributed Tracing: Tempo</w:t>
      </w:r>
    </w:p>
    <w:p>
      <w:pPr>
        <w:spacing w:after="120" w:before="80"/>
      </w:pPr>
      <w:r>
        <w:rPr>
          <w:rFonts w:ascii="Arial" w:cs="Arial" w:eastAsia="Arial" w:hAnsi="Arial"/>
          <w:sz w:val="22"/>
          <w:szCs w:val="22"/>
        </w:rPr>
        <w:t xml:space="preserve">Tempo (by Grafana Labs) is a distributed tracing backend that stores traces in object storage. Services emit traces in OpenTelemetry format. Tempo receives, stores, and serves them for querying via TraceQL.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OpenTelemetry (OTLP). Industry standard. Not tied to Tempo — traces can be redirected to Jaeger or Zipkin.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(MinIO in dev). Very low cost per trace.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TraceQL — query traces by duration, service name, span attributes.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Tempo data source. Trace IDs in logs (Loki) are clickable. Metric exemplars link to traces.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in dev. Head-based sampling at 10% in production (configurable).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CCCCC" w:sz="1"/>
              <w:right w:val="single" w:color="CCCCCC" w:sz="1"/>
            </w:tcBorders>
            <w:shd w:fill="EEF3FB" w:val="clear"/>
            <w:tcMar>
              <w:top w:type="dxa" w:w="120"/>
              <w:left w:type="dxa" w:w="180"/>
              <w:bottom w:type="dxa" w:w="120"/>
              <w:right w:type="dxa" w:w="180"/>
            </w:tcMar>
          </w:tcPr>
          <w:p>
            <w:r>
              <w:rPr>
                <w:rFonts w:ascii="Arial" w:cs="Arial" w:eastAsia="Arial" w:hAnsi="Arial"/>
                <w:b/>
                <w:bCs/>
                <w:caps/>
                <w:color w:val="2E5FA3"/>
                <w:sz w:val="18"/>
                <w:szCs w:val="18"/>
              </w:rPr>
              <w:t xml:space="preserve">ARCHITECTURAL DECISION</w:t>
            </w:r>
          </w:p>
          <w:p>
            <w:pPr>
              <w:spacing w:before="60"/>
            </w:pPr>
            <w:r>
              <w:rPr>
                <w:rFonts w:ascii="Arial" w:cs="Arial" w:eastAsia="Arial" w:hAnsi="Arial"/>
                <w:b/>
                <w:bCs/>
                <w:sz w:val="20"/>
                <w:szCs w:val="20"/>
              </w:rPr>
              <w:t xml:space="preserve">Decision: Tempo over Jaeger for distributed tracing.</w:t>
            </w:r>
          </w:p>
          <w:p>
            <w:pPr>
              <w:spacing w:before="40"/>
            </w:pPr>
            <w:r>
              <w:rPr>
                <w:rFonts w:ascii="Arial" w:cs="Arial" w:eastAsia="Arial" w:hAnsi="Arial"/>
                <w:sz w:val="20"/>
                <w:szCs w:val="20"/>
              </w:rPr>
              <w:t xml:space="preserve">Why: Jaeger is a mature, battle-tested tracing system from Uber. Tempo offers the same core capability but with better Grafana integration (native data source, exemplar support), object-storage-first architecture (no Cassandra/Elasticsearch dependency), and lower operational overhead. Since the stack already uses Grafana and object storage (MinIO), Tempo is the natural fit.</w:t>
            </w:r>
          </w:p>
          <w:p>
            <w:pPr>
              <w:spacing w:before="40"/>
            </w:pPr>
            <w:r>
              <w:rPr>
                <w:rFonts w:ascii="Arial" w:cs="Arial" w:eastAsia="Arial" w:hAnsi="Arial"/>
                <w:i/>
                <w:iCs/>
                <w:sz w:val="20"/>
                <w:szCs w:val="20"/>
              </w:rPr>
              <w:t xml:space="preserve">Tradeoff: Jaeger has a more mature query UI and broader community tooling. If the team is already running Jaeger in production or needs advanced trace analysis features, switching the backend is straightforward because Brainwave emits standard OpenTelemetry — the collector can be redirected without changing service code.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3.6 Alerting: Alertmanager</w:t>
      </w:r>
    </w:p>
    <w:p>
      <w:pPr>
        <w:spacing w:after="120" w:before="80"/>
      </w:pPr>
      <w:r>
        <w:rPr>
          <w:rFonts w:ascii="Arial" w:cs="Arial" w:eastAsia="Arial" w:hAnsi="Arial"/>
          <w:sz w:val="22"/>
          <w:szCs w:val="22"/>
        </w:rPr>
        <w:t xml:space="preserve">Prometheus evaluates alert rules and fires alerts to Alertmanager. Alertmanager handles deduplication, grouping, silencing, and routing to receivers (Slack, PagerDuty, email,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alerts from the same service firing simultaneously are grouped into one notification. Prevents alert storms.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Inhibition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service-down alert fires, latency alerts for that service are suppressed. Root cause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Silencing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 maintenance windows suppress alerts without deleting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alerts route to on-call. Warning alerts route to Slack channel. Info alerts are silenced or logged only.</w:t>
            </w:r>
          </w:p>
        </w:tc>
      </w:tr>
    </w:tbl>
    <w:p>
      <w:r>
        <w:br w:type="page"/>
      </w:r>
    </w:p>
    <w:p>
      <w:pPr>
        <w:pStyle w:val="Heading1"/>
        <w:spacing w:after="160" w:before="320"/>
      </w:pPr>
      <w:r>
        <w:rPr>
          <w:rFonts w:ascii="Arial" w:cs="Arial" w:eastAsia="Arial" w:hAnsi="Arial"/>
          <w:b/>
          <w:bCs/>
          <w:color w:val="1A1A2E"/>
          <w:sz w:val="32"/>
          <w:szCs w:val="32"/>
        </w:rPr>
        <w:t xml:space="preserve">4. Component Architecture</w:t>
      </w:r>
    </w:p>
    <w:p>
      <w:pPr>
        <w:pStyle w:val="Heading2"/>
        <w:spacing w:after="120" w:before="240"/>
      </w:pPr>
      <w:r>
        <w:rPr>
          <w:rFonts w:ascii="Arial" w:cs="Arial" w:eastAsia="Arial" w:hAnsi="Arial"/>
          <w:b/>
          <w:bCs/>
          <w:color w:val="2E5FA3"/>
          <w:sz w:val="28"/>
          <w:szCs w:val="28"/>
        </w:rPr>
        <w:t xml:space="preserve">4.1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Scrapes /metrics from all services and exporters. Stores TSDB. Evaluates alert rules.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Visualisation. Connects to Prometheus, Loki, Tempo. Dashboards + Alerting 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aggregation backend. Receives from Promtail. Queried by Grafana.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shipping agent. Tails container stdout, labels, ships to Loki.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(egress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trace storage. Receives OTLP from OpenTelemetry Collector.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3300 (HTTP), 4317 (OTLP gRPC)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Collector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traces from services (OTLP), forwards to Tempo. Buffers and batches.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4317 (gRPC), 4318 (HTTP)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alerts from Prometheus to receivers (Slack, email).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Exporter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Exposes host OS metrics (CPU, memory, disk, network) for Prometheus scraping.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cAdvisor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Exposes per-container resource metrics for Prometheus scraping.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9101</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4.2 Why a Separate OpenTelemetry Collector</w:t>
      </w:r>
    </w:p>
    <w:p>
      <w:pPr>
        <w:spacing w:after="120" w:before="80"/>
      </w:pPr>
      <w:r>
        <w:rPr>
          <w:rFonts w:ascii="Arial" w:cs="Arial" w:eastAsia="Arial" w:hAnsi="Arial"/>
          <w:sz w:val="22"/>
          <w:szCs w:val="22"/>
        </w:rPr>
        <w:t xml:space="preserve">Services emit traces to the OpenTelemetry Collector, not directly to Tempo. This is an important architectural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Without Collector (Direct to Tempo)</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With Collector (Chosen)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must know Tempo's address and protocol. Changing backends requires redeployment of services.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know only the Collector address. Backend is swappable without touching service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batching. Each span is an individual HTTP call.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batches spans. Drastically reduces Tempo write 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retry logic. Dropped spans are lost.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retries on backend failure. Buffers in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fan-out traces to multiple backends simultaneously.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send to Tempo + Jaeger + Datadog simultaneously for migration periods.</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4.3 Prometheus Scrape Targets</w:t>
      </w:r>
    </w:p>
    <w:p>
      <w:pPr>
        <w:spacing w:after="120" w:before="80"/>
      </w:pPr>
      <w:r>
        <w:rPr>
          <w:rFonts w:ascii="Arial" w:cs="Arial" w:eastAsia="Arial" w:hAnsi="Arial"/>
          <w:sz w:val="22"/>
          <w:szCs w:val="22"/>
        </w:rPr>
        <w:t xml:space="preserve">All scrape targets are configured in prometheus.yml. In dev, static configs are used. In production, Kubernetes service discovery replaces static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Metrics 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auth-hub:3000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(prom-client, custom RED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user-hub:3001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know-hub:3002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node-exporter:9100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(host 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cadvisor:9101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(per-container)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kong:8001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(Kong Prometheus plugin)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postgres-exporter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(pg_stat_* tables)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mongodb-exporter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(MongoDB WiredTiger, ops counters)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minio:9000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/minio/health/live + /metrics</w:t>
            </w:r>
          </w:p>
        </w:tc>
      </w:tr>
    </w:tbl>
    <w:p>
      <w:r>
        <w:br w:type="page"/>
      </w:r>
    </w:p>
    <w:p>
      <w:pPr>
        <w:pStyle w:val="Heading1"/>
        <w:spacing w:after="160" w:before="320"/>
      </w:pPr>
      <w:r>
        <w:rPr>
          <w:rFonts w:ascii="Arial" w:cs="Arial" w:eastAsia="Arial" w:hAnsi="Arial"/>
          <w:b/>
          <w:bCs/>
          <w:color w:val="1A1A2E"/>
          <w:sz w:val="32"/>
          <w:szCs w:val="32"/>
        </w:rPr>
        <w:t xml:space="preserve">5. Service Instrumentation</w:t>
      </w:r>
    </w:p>
    <w:p>
      <w:pPr>
        <w:pStyle w:val="Heading2"/>
        <w:spacing w:after="120" w:before="240"/>
      </w:pPr>
      <w:r>
        <w:rPr>
          <w:rFonts w:ascii="Arial" w:cs="Arial" w:eastAsia="Arial" w:hAnsi="Arial"/>
          <w:b/>
          <w:bCs/>
          <w:color w:val="2E5FA3"/>
          <w:sz w:val="28"/>
          <w:szCs w:val="28"/>
        </w:rPr>
        <w:t xml:space="preserve">5.1 Instrumentation Strategy</w:t>
      </w:r>
    </w:p>
    <w:p>
      <w:pPr>
        <w:spacing w:after="120" w:before="80"/>
      </w:pPr>
      <w:r>
        <w:rPr>
          <w:rFonts w:ascii="Arial" w:cs="Arial" w:eastAsia="Arial" w:hAnsi="Arial"/>
          <w:sz w:val="22"/>
          <w:szCs w:val="22"/>
        </w:rPr>
        <w:t xml:space="preserve">All three application services (auth-hub, user-hub, know-hub) use prom-client (Node.js Prometheus client) via the @brainwave-project/core shared library. This means instrumentation is added once in core and inherited by all services.</w:t>
      </w:r>
    </w:p>
    <w:p>
      <w:pPr>
        <w:spacing w:after="120" w:before="80"/>
      </w:pPr>
      <w:r>
        <w:rPr>
          <w:rFonts w:ascii="Arial" w:cs="Arial" w:eastAsia="Arial" w:hAnsi="Arial"/>
          <w:sz w:val="22"/>
          <w:szCs w:val="22"/>
        </w:rPr>
        <w:t xml:space="preserve">OpenTelemetry SDK is used for distributed tracing. The SDK is also added to core so all services emit traces without per-service configuration.</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5.2 Standard HTTP Metrics (via Core)</w:t>
      </w:r>
    </w:p>
    <w:p>
      <w:pPr>
        <w:spacing w:after="120" w:before="80"/>
      </w:pPr>
      <w:r>
        <w:rPr>
          <w:rFonts w:ascii="Arial" w:cs="Arial" w:eastAsia="Arial" w:hAnsi="Arial"/>
          <w:sz w:val="22"/>
          <w:szCs w:val="22"/>
        </w:rPr>
        <w:t xml:space="preserve">Every service automatically exposes these metrics via the metricsMiddleware already present in @brainwave-project/core: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 / Labels / 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http_requests_total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 Labels: method, route, status_code, service. Total requests by 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http_request_duration_seconds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Labels: method, route, status_code. Request latency with buckets at 50ms, 100ms, 250ms, 500ms, 1s, 2.5s, 5s, 10s.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http_request_size_bytes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Labels: method, route. Request body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http_response_size_bytes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Labels: method, route. Response body size.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5.3 Business Metrics</w:t>
      </w:r>
    </w:p>
    <w:p>
      <w:pPr>
        <w:spacing w:after="120" w:before="80"/>
      </w:pPr>
      <w:r>
        <w:rPr>
          <w:rFonts w:ascii="Arial" w:cs="Arial" w:eastAsia="Arial" w:hAnsi="Arial"/>
          <w:sz w:val="22"/>
          <w:szCs w:val="22"/>
        </w:rPr>
        <w:t xml:space="preserve">Beyond RED metrics, each service adds domain-specific counters that express business behaviour. These are defined in the service, not in core, because they are domain-specific.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auth_login_total{result="success|failure"}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attempts and failure rate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auth_token_refresh_total{result="success|expired"}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refresh health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user_created_total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registration rate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user_status_transition_total{from, to}</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state machine transitions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document_upload_total{result="success|failure"}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success rate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document_state_transition_total{from, to}</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lifecycle transitions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saga_step_duration_seconds{step, result}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UploadDocumentSaga per-step latency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idempotency_key_hit_total{status}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cache hit/miss rate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5.4 gRPC Metrics</w:t>
      </w:r>
    </w:p>
    <w:p>
      <w:pPr>
        <w:spacing w:after="120" w:before="80"/>
      </w:pPr>
      <w:r>
        <w:rPr>
          <w:rFonts w:ascii="Arial" w:cs="Arial" w:eastAsia="Arial" w:hAnsi="Arial"/>
          <w:sz w:val="22"/>
          <w:szCs w:val="22"/>
        </w:rPr>
        <w:t xml:space="preserve">The auth-hub gRPC server (ValidateToken, IntrospectToken) exposes gRPC-specific metrics using prom-client interceptors: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grpc_server_handled_total{grpc_method, grpc_code}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gRPC calls by method and status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grpc_server_handling_seconds{grpc_method}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 call latency histogram</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5.5 Distributed Trace Propagation</w:t>
      </w:r>
    </w:p>
    <w:p>
      <w:pPr>
        <w:spacing w:after="120" w:before="80"/>
      </w:pPr>
      <w:r>
        <w:rPr>
          <w:rFonts w:ascii="Arial" w:cs="Arial" w:eastAsia="Arial" w:hAnsi="Arial"/>
          <w:sz w:val="22"/>
          <w:szCs w:val="22"/>
        </w:rPr>
        <w:t xml:space="preserve">The OpenTelemetry SDK is initialised in each service at startup. The W3C Trace Context standard (traceparent header) is used for propagation. Kong propagates the header downstream, so a trace started at the client is continued through Kong into the first service, then into gRPC calls between services.</w:t>
      </w:r>
    </w:p>
    <w:p>
      <w:pPr>
        <w:spacing w:after="120" w:before="80"/>
      </w:pPr>
      <w:r>
        <w:rPr>
          <w:rFonts w:ascii="Arial" w:cs="Arial" w:eastAsia="Arial" w:hAnsi="Arial"/>
          <w:sz w:val="22"/>
          <w:szCs w:val="22"/>
        </w:rPr>
        <w:t xml:space="preserve">The correlation_id already present in @brainwave-project/core is set equal to the OpenTelemetry trace ID. This means a single ID can be used to find both the structured log lines (in Loki) and the distributed trace (in Tempo) for any given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2E5FA3"/>
                <w:sz w:val="20"/>
                <w:szCs w:val="20"/>
              </w:rPr>
              <w:t xml:space="preserve">TRACE-LOG CORRELATION</w:t>
            </w:r>
          </w:p>
          <w:p>
            <w:r>
              <w:rPr>
                <w:rFonts w:ascii="Arial" w:cs="Arial" w:eastAsia="Arial" w:hAnsi="Arial"/>
                <w:sz w:val="20"/>
                <w:szCs w:val="20"/>
              </w:rPr>
              <w:t xml:space="preserve">Every log line emitted by a service includes trace_id and span_id fields (from the OTel context). In Grafana, Loki is configured with a derived field: trace_id matches a regex and becomes a clickable link that opens the Tempo trace. This is the critical feature that makes incident response fast: find the slow log line, click the trace ID, see the full distributed trace.</w:t>
            </w:r>
          </w:p>
        </w:tc>
      </w:tr>
    </w:tbl>
    <w:p>
      <w:r>
        <w:br w:type="page"/>
      </w:r>
    </w:p>
    <w:p>
      <w:pPr>
        <w:pStyle w:val="Heading1"/>
        <w:spacing w:after="160" w:before="320"/>
      </w:pPr>
      <w:r>
        <w:rPr>
          <w:rFonts w:ascii="Arial" w:cs="Arial" w:eastAsia="Arial" w:hAnsi="Arial"/>
          <w:b/>
          <w:bCs/>
          <w:color w:val="1A1A2E"/>
          <w:sz w:val="32"/>
          <w:szCs w:val="32"/>
        </w:rPr>
        <w:t xml:space="preserve">6. Data Flow Pipelines</w:t>
      </w:r>
    </w:p>
    <w:p>
      <w:pPr>
        <w:pStyle w:val="Heading2"/>
        <w:spacing w:after="120" w:before="240"/>
      </w:pPr>
      <w:r>
        <w:rPr>
          <w:rFonts w:ascii="Arial" w:cs="Arial" w:eastAsia="Arial" w:hAnsi="Arial"/>
          <w:b/>
          <w:bCs/>
          <w:color w:val="2E5FA3"/>
          <w:sz w:val="28"/>
          <w:szCs w:val="28"/>
        </w:rPr>
        <w:t xml:space="preserve">6.1 Metrics Pipeline</w:t>
      </w:r>
    </w:p>
    <w:p>
      <w:pPr>
        <w:spacing w:after="120" w:before="80"/>
      </w:pPr>
      <w:r>
        <w:rPr>
          <w:rFonts w:ascii="Arial" w:cs="Arial" w:eastAsia="Arial" w:hAnsi="Arial"/>
          <w:sz w:val="22"/>
          <w:szCs w:val="22"/>
        </w:rPr>
        <w:t xml:space="preserve">The metrics pipeline is pull-based. No service pushes to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Emit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prom-client maintains in-memory counters/histograms. No I/O involved.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Expose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exposes GET /metrics endpoint. Returns text in Prometheus exposition format.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Scrape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scrapes each target every 15 seconds. One HTTP GET per target per interval.</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Store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writes scraped samples to local TSDB. Compacts into blocks every 2 hours.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Evaluate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evaluates alert rules every 15 seconds against the TSDB.</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Query</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queries Prometheus via PromQL on dashboard load or at alert evaluation time.</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6.2 Logs Pipeline</w:t>
      </w:r>
    </w:p>
    <w:p>
      <w:pPr>
        <w:spacing w:after="120" w:before="80"/>
      </w:pPr>
      <w:r>
        <w:rPr>
          <w:rFonts w:ascii="Arial" w:cs="Arial" w:eastAsia="Arial" w:hAnsi="Arial"/>
          <w:sz w:val="22"/>
          <w:szCs w:val="22"/>
        </w:rPr>
        <w:t xml:space="preserve">Services write structured JSON to stdout only. They never write to files or ship to remote systems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Emit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calls pino logger. JSON written to stdout (non-blocking, async).</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Capture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captures stdout from each container.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Tail</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 agent tails /var/lib/docker/containers/*/*.log on the host.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Label</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 adds labels: service, environment, container. Does not parse log content.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Ship</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 batches and ships labelled log streams to Loki via HTTP.</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Store</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 compresses and stores log chunks in MinIO (object storage).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Query</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queries Loki via LogQL. Label filters are fast; content grep is slower.</w:t>
            </w:r>
          </w:p>
        </w:tc>
      </w:tr>
    </w:tbl>
    <w:p>
      <w:pPr>
        <w:spacing w:after="80" w:before="80"/>
      </w:pPr>
      <w:r>
        <w:t xml:space="preserve"/>
      </w:r>
    </w:p>
    <w:p>
      <w:pPr>
        <w:spacing w:after="120" w:before="80"/>
      </w:pPr>
      <w:r>
        <w:rPr>
          <w:rFonts w:ascii="Arial" w:cs="Arial" w:eastAsia="Arial" w:hAnsi="Arial"/>
          <w:sz w:val="22"/>
          <w:szCs w:val="22"/>
        </w:rPr>
        <w:t xml:space="preserve">This pipeline exactly implements the design from the Logging TDD v2.0. The key property: service code has no knowledge of Loki, Promtail, or any log backend. It writes to stdout. All shipping is external.</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6.3 Traces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span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starts a span at request entry (middleware). Child spans are created for DB queries, gRPC calls, MinIO operations.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Propagate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traceparent header is read from incoming request. New child span is created under it. Header is forwarded on all outbound calls.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Export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SDK batches completed spans and exports via OTLP gRPC to the Collector (localhost:4317). Non-blocking, background thread.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Collect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 Collector receives spans, applies tail-sampling (in production), batches, and forwards to Tempo.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Store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 stores trace data in MinIO (object storage). Indexes trace IDs for fast lookup.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Query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Tempo data source. Searched by trace ID (from log), service name, or duration via TraceQL.</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6.4 Alert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Evaluate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evaluates alert rules every 15 seconds against its TSDB.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Pending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alert enters "pending" state when the condition is first true. It must remain true for the configured duration before firing.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Fire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transitions to "firing" and is sent to Alertmanager.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Route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 matches the alert against routing rules. Routes to appropriate receiver by severity and 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Group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alerts from the same service are grouped into one notification. Prevents storm.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Notify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 sends to configured receiver: Slack webhook in dev, PagerDuty in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Resolve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condition is no longer true, Prometheus sends a resolve notification to Alertmanager, which forwards it to receivers.</w:t>
            </w:r>
          </w:p>
        </w:tc>
      </w:tr>
    </w:tbl>
    <w:p>
      <w:r>
        <w:br w:type="page"/>
      </w:r>
    </w:p>
    <w:p>
      <w:pPr>
        <w:pStyle w:val="Heading1"/>
        <w:spacing w:after="160" w:before="320"/>
      </w:pPr>
      <w:r>
        <w:rPr>
          <w:rFonts w:ascii="Arial" w:cs="Arial" w:eastAsia="Arial" w:hAnsi="Arial"/>
          <w:b/>
          <w:bCs/>
          <w:color w:val="1A1A2E"/>
          <w:sz w:val="32"/>
          <w:szCs w:val="32"/>
        </w:rPr>
        <w:t xml:space="preserve">7. Alerting Strategy</w:t>
      </w:r>
    </w:p>
    <w:p>
      <w:pPr>
        <w:pStyle w:val="Heading2"/>
        <w:spacing w:after="120" w:before="240"/>
      </w:pPr>
      <w:r>
        <w:rPr>
          <w:rFonts w:ascii="Arial" w:cs="Arial" w:eastAsia="Arial" w:hAnsi="Arial"/>
          <w:b/>
          <w:bCs/>
          <w:color w:val="2E5FA3"/>
          <w:sz w:val="28"/>
          <w:szCs w:val="28"/>
        </w:rPr>
        <w:t xml:space="preserve">7.1 Alert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Expected Response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impact now. SLO breach in progress.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on-call immediately. Fix within 30 minutes.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Degraded but not broken. SLO burn rate elevated.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 team channel. Address within 4 hours.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worth knowing, no user impact.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to dashboard. Address in next sprint.</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7.2 Core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320"/>
        <w:gridCol w:w="2400"/>
      </w:tblGrid>
      <w:tr>
        <w:tc>
          <w:tcPr>
            <w:tcW w:type="dxa" w:w="26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Alert Name</w:t>
            </w:r>
          </w:p>
        </w:tc>
        <w:tc>
          <w:tcPr>
            <w:tcW w:type="dxa" w:w="43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ServiceDown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 0 for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HighErrorRate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rate(http_requests_total{status=~"5.."}[5m]) / rate(http_requests_total[5m]) &gt; 0.01 for 5m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HighLatencyP99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histogram_quantile(0.99, http_request_duration_seconds) &gt; 2 for 5m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SLOBurnRateFast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 rate &gt; 14.4x over 1h window (2% budget consumed in 1h)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SLOBurnRateSlow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 rate &gt; 6x over 6h window (5% budget consumed in 6h)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PostgresConnectionHigh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pg_stat_activity_count &gt; 80% of max_connections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MinIODiskFull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disk_free_bytes &lt; 10% of disk_total_bytes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SagaCompensationFired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rate(saga_compensation_total[5m]) &gt;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IdempotencyConflictHigh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rate(idempotency_key_hit_total{status="IN_PROGRESS"}[5m]) &gt; 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7.3 Multi-Burn-Rate SLO Alerts</w:t>
      </w:r>
    </w:p>
    <w:p>
      <w:pPr>
        <w:spacing w:after="120" w:before="80"/>
      </w:pPr>
      <w:r>
        <w:rPr>
          <w:rFonts w:ascii="Arial" w:cs="Arial" w:eastAsia="Arial" w:hAnsi="Arial"/>
          <w:sz w:val="22"/>
          <w:szCs w:val="22"/>
        </w:rPr>
        <w:t xml:space="preserve">Simple threshold alerts have a flaw: a 1% error rate breaching a 0.5% threshold will fire, but so will a transient 30-second spike that consumes almost no error budget. Multi-burn-rate alerting fixes this by requiring sustained budget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Burn Rate Threshold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Budget Consumed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 fast burn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30-day budget in 1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 slow burn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30-day budget in 6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 gradual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of 30-day budget in 1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 trend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track to exhaust full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r>
    </w:tbl>
    <w:p>
      <w:pPr>
        <w:spacing w:after="80" w:before="80"/>
      </w:pPr>
      <w:r>
        <w:t xml:space="preserve"/>
      </w:r>
    </w:p>
    <w:p>
      <w:pPr>
        <w:spacing w:after="120" w:before="80"/>
      </w:pPr>
      <w:r>
        <w:rPr>
          <w:rFonts w:ascii="Arial" w:cs="Arial" w:eastAsia="Arial" w:hAnsi="Arial"/>
          <w:sz w:val="22"/>
          <w:szCs w:val="22"/>
        </w:rPr>
        <w:t xml:space="preserve">Both the fast-burn and slow-burn windows must be elevated simultaneously before a critical alert fires. This eliminates false positives from short spikes while ensuring real SLO threats are caught quickly.</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7.4 Inhibition Rules</w:t>
      </w:r>
    </w:p>
    <w:p>
      <w:pPr>
        <w:spacing w:after="120" w:before="80"/>
      </w:pPr>
      <w:r>
        <w:rPr>
          <w:rFonts w:ascii="Arial" w:cs="Arial" w:eastAsia="Arial" w:hAnsi="Arial"/>
          <w:sz w:val="22"/>
          <w:szCs w:val="22"/>
        </w:rPr>
        <w:t xml:space="preserve">Inhibition prevents alert storms when a root cause triggers cascading failures. When ServiceDown fires for a service, all other alerts (HighErrorRate, HighLatencyP99) for that same service are suppressed. The root cause is the only thing paged on-call.</w:t>
      </w:r>
    </w:p>
    <w:p>
      <w:r>
        <w:br w:type="page"/>
      </w:r>
    </w:p>
    <w:p>
      <w:pPr>
        <w:pStyle w:val="Heading1"/>
        <w:spacing w:after="160" w:before="320"/>
      </w:pPr>
      <w:r>
        <w:rPr>
          <w:rFonts w:ascii="Arial" w:cs="Arial" w:eastAsia="Arial" w:hAnsi="Arial"/>
          <w:b/>
          <w:bCs/>
          <w:color w:val="1A1A2E"/>
          <w:sz w:val="32"/>
          <w:szCs w:val="32"/>
        </w:rPr>
        <w:t xml:space="preserve">8. Dashboards</w:t>
      </w:r>
    </w:p>
    <w:p>
      <w:pPr>
        <w:pStyle w:val="Heading2"/>
        <w:spacing w:after="120" w:before="240"/>
      </w:pPr>
      <w:r>
        <w:rPr>
          <w:rFonts w:ascii="Arial" w:cs="Arial" w:eastAsia="Arial" w:hAnsi="Arial"/>
          <w:b/>
          <w:bCs/>
          <w:color w:val="2E5FA3"/>
          <w:sz w:val="28"/>
          <w:szCs w:val="28"/>
        </w:rPr>
        <w:t xml:space="preserve">8.1 Dashboard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64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Audience / Purpose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Health Overview</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On-call engineer. RED metrics for all three services side-by-side. Current error rate, p99 latency, request rate, uptime. The first dashboard opened during an incident.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Deep Dive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 debugging a specific service. Per-endpoint breakdown, gRPC metrics, business metric trends, recent error log panel.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CPU, memory, disk, network per container and per host. PostgreSQL connection pool. MinIO storage usage.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 Status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lead. 30-day error budget consumption, burn rate trends, historical SLO compliance.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Lifecycle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 business. Document upload rate, state transition counts, saga success/failure rate, average time to AVAILABLE state.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&amp; Security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review. Login attempt rate, token refresh rate, token validation failures at Kong, repeated 401 sources.</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8.2 Dashboard Provisioning</w:t>
      </w:r>
    </w:p>
    <w:p>
      <w:pPr>
        <w:spacing w:after="120" w:before="80"/>
      </w:pPr>
      <w:r>
        <w:rPr>
          <w:rFonts w:ascii="Arial" w:cs="Arial" w:eastAsia="Arial" w:hAnsi="Arial"/>
          <w:sz w:val="22"/>
          <w:szCs w:val="22"/>
        </w:rPr>
        <w:t xml:space="preserve">Dashboards are provisioned as JSON files mounted into Grafana at startup. They are checked into the infra repository. This means dashboards are version-controlled, reproducible, and automatically available in every fresh local dev environment without manual import.</w:t>
      </w:r>
    </w:p>
    <w:p>
      <w:pPr>
        <w:spacing w:after="120" w:before="80"/>
      </w:pPr>
      <w:r>
        <w:rPr>
          <w:rFonts w:ascii="Arial" w:cs="Arial" w:eastAsia="Arial" w:hAnsi="Arial"/>
          <w:sz w:val="22"/>
          <w:szCs w:val="22"/>
        </w:rPr>
        <w:t xml:space="preserve">The provisioning configuration is at infra/grafana/provisioning/dashboards/. Each dashboard JSON lives in infra/grafana/dashboards/. Changes to dashboards are committed as code, not exported manually from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CCCCCC" w:sz="1"/>
              <w:right w:val="single" w:color="CCCCCC" w:sz="1"/>
            </w:tcBorders>
            <w:shd w:fill="EEF3FB" w:val="clear"/>
            <w:tcMar>
              <w:top w:type="dxa" w:w="120"/>
              <w:left w:type="dxa" w:w="180"/>
              <w:bottom w:type="dxa" w:w="120"/>
              <w:right w:type="dxa" w:w="180"/>
            </w:tcMar>
          </w:tcPr>
          <w:p>
            <w:r>
              <w:rPr>
                <w:rFonts w:ascii="Arial" w:cs="Arial" w:eastAsia="Arial" w:hAnsi="Arial"/>
                <w:b/>
                <w:bCs/>
                <w:caps/>
                <w:color w:val="2E5FA3"/>
                <w:sz w:val="18"/>
                <w:szCs w:val="18"/>
              </w:rPr>
              <w:t xml:space="preserve">ARCHITECTURAL DECISION</w:t>
            </w:r>
          </w:p>
          <w:p>
            <w:pPr>
              <w:spacing w:before="60"/>
            </w:pPr>
            <w:r>
              <w:rPr>
                <w:rFonts w:ascii="Arial" w:cs="Arial" w:eastAsia="Arial" w:hAnsi="Arial"/>
                <w:b/>
                <w:bCs/>
                <w:sz w:val="20"/>
                <w:szCs w:val="20"/>
              </w:rPr>
              <w:t xml:space="preserve">Decision: Provision dashboards as code, not via Grafana UI export.</w:t>
            </w:r>
          </w:p>
          <w:p>
            <w:pPr>
              <w:spacing w:before="40"/>
            </w:pPr>
            <w:r>
              <w:rPr>
                <w:rFonts w:ascii="Arial" w:cs="Arial" w:eastAsia="Arial" w:hAnsi="Arial"/>
                <w:sz w:val="20"/>
                <w:szCs w:val="20"/>
              </w:rPr>
              <w:t xml:space="preserve">Why: Dashboards clicked together in the UI are not reproducible. A new team member or a fresh docker compose reset loses all dashboard work. Code-provisioned dashboards are always present, always up to date, and trivially reviewable in pull requests.</w:t>
            </w:r>
          </w:p>
          <w:p>
            <w:pPr>
              <w:spacing w:before="40"/>
            </w:pPr>
            <w:r>
              <w:rPr>
                <w:rFonts w:ascii="Arial" w:cs="Arial" w:eastAsia="Arial" w:hAnsi="Arial"/>
                <w:i/>
                <w:iCs/>
                <w:sz w:val="20"/>
                <w:szCs w:val="20"/>
              </w:rPr>
              <w:t xml:space="preserve">Tradeoff: Grafana's JSON dashboard model is verbose and not human-friendly to edit directly. The tradeoff is accepted: dashboards are built in the UI, exported as JSON once, then committed. Subsequent edits follow the same flow.</w:t>
            </w:r>
          </w:p>
        </w:tc>
      </w:tr>
    </w:tbl>
    <w:p>
      <w:r>
        <w:br w:type="page"/>
      </w:r>
    </w:p>
    <w:p>
      <w:pPr>
        <w:pStyle w:val="Heading1"/>
        <w:spacing w:after="160" w:before="320"/>
      </w:pPr>
      <w:r>
        <w:rPr>
          <w:rFonts w:ascii="Arial" w:cs="Arial" w:eastAsia="Arial" w:hAnsi="Arial"/>
          <w:b/>
          <w:bCs/>
          <w:color w:val="1A1A2E"/>
          <w:sz w:val="32"/>
          <w:szCs w:val="32"/>
        </w:rPr>
        <w:t xml:space="preserve">9. Security Boundaries</w:t>
      </w:r>
    </w:p>
    <w:p>
      <w:pPr>
        <w:pStyle w:val="Heading2"/>
        <w:spacing w:after="120" w:before="240"/>
      </w:pPr>
      <w:r>
        <w:rPr>
          <w:rFonts w:ascii="Arial" w:cs="Arial" w:eastAsia="Arial" w:hAnsi="Arial"/>
          <w:b/>
          <w:bCs/>
          <w:color w:val="2E5FA3"/>
          <w:sz w:val="28"/>
          <w:szCs w:val="28"/>
        </w:rPr>
        <w:t xml:space="preserve">9.1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Keycloak OIDC SSO. Admin role required for dashboard editing. Viewer role for read-only. No anonymous access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authentication in dev (internal Docker network only). In production: basic auth or Grafana as the only query 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network only. Not exposed outside the Docker network.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as the only query client. Promtail has write-only access via internal network.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as the only query client. OTel Collector has write-only access.</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9.2 PII and Credential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2E5FA3"/>
                <w:sz w:val="20"/>
                <w:szCs w:val="20"/>
              </w:rPr>
              <w:t xml:space="preserve">HARD RULE</w:t>
            </w:r>
          </w:p>
          <w:p>
            <w:r>
              <w:rPr>
                <w:rFonts w:ascii="Arial" w:cs="Arial" w:eastAsia="Arial" w:hAnsi="Arial"/>
                <w:sz w:val="20"/>
                <w:szCs w:val="20"/>
              </w:rPr>
              <w:t xml:space="preserve">No metric label, log line, or trace span attribute may contain: user email addresses, full names, document content, authentication tokens, passwords, or any business payload data. Metric labels contain only bounded categorical values (service names, status codes, state machine states). Logs contain only user IDs (UUIDs), document IDs (UUIDs), and event types. Traces contain span names and durations only.</w:t>
            </w:r>
          </w:p>
        </w:tc>
      </w:tr>
    </w:tbl>
    <w:p>
      <w:pPr>
        <w:spacing w:after="80" w:before="80"/>
      </w:pPr>
      <w:r>
        <w:t xml:space="preserve"/>
      </w:r>
    </w:p>
    <w:p>
      <w:pPr>
        <w:spacing w:after="120" w:before="80"/>
      </w:pPr>
      <w:r>
        <w:rPr>
          <w:rFonts w:ascii="Arial" w:cs="Arial" w:eastAsia="Arial" w:hAnsi="Arial"/>
          <w:sz w:val="22"/>
          <w:szCs w:val="22"/>
        </w:rPr>
        <w:t xml:space="preserve">This boundary is enforced by code review. Any instrumentation that logs a "user" object, a "document" object, or any field named "email", "password", "token", "content", or "payload" is rejected.</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9.3 /metrics Endpoint Security</w:t>
      </w:r>
    </w:p>
    <w:p>
      <w:pPr>
        <w:spacing w:after="120" w:before="80"/>
      </w:pPr>
      <w:r>
        <w:rPr>
          <w:rFonts w:ascii="Arial" w:cs="Arial" w:eastAsia="Arial" w:hAnsi="Arial"/>
          <w:sz w:val="22"/>
          <w:szCs w:val="22"/>
        </w:rPr>
        <w:t xml:space="preserve">The /metrics endpoint exposed by each service for Prometheus scraping must never be reachable by external clients. Kong routes do not expose /metrics. The endpoint is only accessible inside the Docker network (brainwave network), where Prometheus runs. In production, this is enforced by network policy.</w:t>
      </w:r>
    </w:p>
    <w:p>
      <w:r>
        <w:br w:type="page"/>
      </w:r>
    </w:p>
    <w:p>
      <w:pPr>
        <w:pStyle w:val="Heading1"/>
        <w:spacing w:after="160" w:before="320"/>
      </w:pPr>
      <w:r>
        <w:rPr>
          <w:rFonts w:ascii="Arial" w:cs="Arial" w:eastAsia="Arial" w:hAnsi="Arial"/>
          <w:b/>
          <w:bCs/>
          <w:color w:val="1A1A2E"/>
          <w:sz w:val="32"/>
          <w:szCs w:val="32"/>
        </w:rPr>
        <w:t xml:space="preserve">10. Deployment</w:t>
      </w:r>
    </w:p>
    <w:p>
      <w:pPr>
        <w:pStyle w:val="Heading2"/>
        <w:spacing w:after="120" w:before="240"/>
      </w:pPr>
      <w:r>
        <w:rPr>
          <w:rFonts w:ascii="Arial" w:cs="Arial" w:eastAsia="Arial" w:hAnsi="Arial"/>
          <w:b/>
          <w:bCs/>
          <w:color w:val="2E5FA3"/>
          <w:sz w:val="28"/>
          <w:szCs w:val="28"/>
        </w:rPr>
        <w:t xml:space="preserve">10.1 Docker Compose Addition</w:t>
      </w:r>
    </w:p>
    <w:p>
      <w:pPr>
        <w:spacing w:after="120" w:before="80"/>
      </w:pPr>
      <w:r>
        <w:rPr>
          <w:rFonts w:ascii="Arial" w:cs="Arial" w:eastAsia="Arial" w:hAnsi="Arial"/>
          <w:sz w:val="22"/>
          <w:szCs w:val="22"/>
        </w:rPr>
        <w:t xml:space="preserve">The observability stack is added to infra/ as a new compose override: docker/compose.observability.yml. It is opt-in, not included in the default dev stack. This keeps the base dev environment lightweight.</w:t>
      </w:r>
    </w:p>
    <w:p>
      <w:pPr>
        <w:spacing w:after="60" w:before="60"/>
      </w:pPr>
      <w:r>
        <w:rPr>
          <w:rFonts w:ascii="Courier New" w:cs="Courier New" w:eastAsia="Courier New" w:hAnsi="Courier New"/>
          <w:color w:val="333333"/>
          <w:sz w:val="20"/>
          <w:szCs w:val="20"/>
        </w:rPr>
        <w:t xml:space="preserve"># Start infra + observability</w:t>
      </w:r>
    </w:p>
    <w:p>
      <w:pPr>
        <w:spacing w:after="60" w:before="60"/>
      </w:pPr>
      <w:r>
        <w:rPr>
          <w:rFonts w:ascii="Courier New" w:cs="Courier New" w:eastAsia="Courier New" w:hAnsi="Courier New"/>
          <w:color w:val="333333"/>
          <w:sz w:val="20"/>
          <w:szCs w:val="20"/>
        </w:rPr>
        <w:t xml:space="preserve">docker compose -f docker/compose.yml -f docker/compose.dev.yml \</w:t>
      </w:r>
    </w:p>
    <w:p>
      <w:pPr>
        <w:spacing w:after="60" w:before="60"/>
      </w:pPr>
      <w:r>
        <w:rPr>
          <w:rFonts w:ascii="Courier New" w:cs="Courier New" w:eastAsia="Courier New" w:hAnsi="Courier New"/>
          <w:color w:val="333333"/>
          <w:sz w:val="20"/>
          <w:szCs w:val="20"/>
        </w:rPr>
        <w:t xml:space="preserve">  -f docker/compose.observability.yml --env-file env/.env.dev up -d</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10.2 Service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prom/prometheus:v2.52.0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grafana/grafana:10.4.0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grafana/loki:2.9.0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promtail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grafana/promtail:2.9.0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grafana/tempo:2.4.0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otel-collector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otel/opentelemetry-collector-contrib:0.100.0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prom/alertmanager:v0.27.0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node-exporter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prom/node-exporter:v1.8.0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cadvisor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gcr.io/cadvisor/cadvisor:v0.49.1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postgres-exporter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prometheuscommunity/postgres-exporter:v0.15.0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mongodb-exporter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percona/mongodb_exporter:0.40.0</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10.3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infra/prometheus/prometheus.yml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 targets, scrape interval, alerting rules path.</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infra/prometheus/rules/slo.yml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 recording rules and multi-burn-rate alert rules.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infra/prometheus/rules/services.yml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Service-level alert rules (ServiceDown, HighErrorRate, etc.).</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infra/alertmanager/alertmanager.yml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tree, receivers (Slack webhook), inhibition rules.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infra/grafana/provisioning/datasources/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Auto-configures Prometheus, Loki, Tempo data sources on start.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infra/grafana/provisioning/dashboards/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Grafana to the dashboards folder.</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infra/grafana/dashboards/*.json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Provisioned dashboard JSON files.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infra/loki/loki-config.yml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backend (MinIO), ingestion limits, retention.</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infra/tempo/tempo-config.yml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OTLP receiver, storage backend (MinIO), retention.</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infra/otel-collector/otel-collector.yml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Receivers (OTLP), processors (batching, sampling), exporters (Tempo).</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infra/promtail/promtail-config.yml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log discovery, label extraction, Loki push target.</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10.4 Access URLs (Local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http://localhost:3100   (admin / admin_dev_pass)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http://localhost:9090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http://localhost:9093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http://localhost:3200   (Grafana data source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http://localhost:3300   (Grafana data source only)</w:t>
            </w:r>
          </w:p>
        </w:tc>
      </w:tr>
    </w:tbl>
    <w:p>
      <w:r>
        <w:br w:type="page"/>
      </w:r>
    </w:p>
    <w:p>
      <w:pPr>
        <w:pStyle w:val="Heading1"/>
        <w:spacing w:after="160" w:before="320"/>
      </w:pPr>
      <w:r>
        <w:rPr>
          <w:rFonts w:ascii="Arial" w:cs="Arial" w:eastAsia="Arial" w:hAnsi="Arial"/>
          <w:b/>
          <w:bCs/>
          <w:color w:val="1A1A2E"/>
          <w:sz w:val="32"/>
          <w:szCs w:val="32"/>
        </w:rPr>
        <w:t xml:space="preserve">11. Incident Response Workflow</w:t>
      </w:r>
    </w:p>
    <w:p>
      <w:pPr>
        <w:pStyle w:val="Heading2"/>
        <w:spacing w:after="120" w:before="240"/>
      </w:pPr>
      <w:r>
        <w:rPr>
          <w:rFonts w:ascii="Arial" w:cs="Arial" w:eastAsia="Arial" w:hAnsi="Arial"/>
          <w:b/>
          <w:bCs/>
          <w:color w:val="2E5FA3"/>
          <w:sz w:val="28"/>
          <w:szCs w:val="28"/>
        </w:rPr>
        <w:t xml:space="preserve">11.1 Standard Debugging Flow</w:t>
      </w:r>
    </w:p>
    <w:p>
      <w:pPr>
        <w:spacing w:after="120" w:before="80"/>
      </w:pPr>
      <w:r>
        <w:rPr>
          <w:rFonts w:ascii="Arial" w:cs="Arial" w:eastAsia="Arial" w:hAnsi="Arial"/>
          <w:sz w:val="22"/>
          <w:szCs w:val="22"/>
        </w:rPr>
        <w:t xml:space="preserve">This is the expected flow for any production incident once the observability stack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Check Service Health 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which service has elevated error rate or latency. 30-second diagnosis.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Open Service Deep Dive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the specific endpoint or operation. Is it one route or all routes?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Switch to Explore → Logs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LogQL: {service="know-hub"} | json | level="error". Read error messages and stack traces.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Click trace_id in log 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Jumps to distributed trace in Tempo. See full call path and per-hop timing.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Check infrastructure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a resource constraint? Check cAdvisor for the affected container.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Check upstream 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auth-hub healthy? Is PostgreSQL connection pool full?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Resolve or escalate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deployed. Verify error rate drops on Service Health dashboard within 2 minutes.</w:t>
            </w:r>
          </w:p>
        </w:tc>
      </w:tr>
    </w:tbl>
    <w:p>
      <w:pPr>
        <w:spacing w:after="80" w:before="80"/>
      </w:pPr>
      <w:r>
        <w:t xml:space="preserve"/>
      </w:r>
    </w:p>
    <w:p>
      <w:pPr>
        <w:pStyle w:val="Heading2"/>
        <w:spacing w:after="120" w:before="240"/>
      </w:pPr>
      <w:r>
        <w:rPr>
          <w:rFonts w:ascii="Arial" w:cs="Arial" w:eastAsia="Arial" w:hAnsi="Arial"/>
          <w:b/>
          <w:bCs/>
          <w:color w:val="2E5FA3"/>
          <w:sz w:val="28"/>
          <w:szCs w:val="28"/>
        </w:rPr>
        <w:t xml:space="preserve">11.2 SLO Burn Rate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Alert Fired</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SLOBurnRateFast (critical)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response. Error budget being consumed 14.4x faster than baseline. Treat as P1 incident.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SLOBurnRateSlow (warning)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 within 4 hours. Current trajectory will exhaust monthly error budget. Identify root cause before end of shift.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SLOBurnRateGradual (info)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at next team standup. No emergency, but trend requires investigation.</w:t>
            </w:r>
          </w:p>
        </w:tc>
      </w:tr>
    </w:tbl>
    <w:p>
      <w:r>
        <w:br w:type="page"/>
      </w:r>
    </w:p>
    <w:p>
      <w:pPr>
        <w:pStyle w:val="Heading1"/>
        <w:spacing w:after="160" w:before="320"/>
      </w:pPr>
      <w:r>
        <w:rPr>
          <w:rFonts w:ascii="Arial" w:cs="Arial" w:eastAsia="Arial" w:hAnsi="Arial"/>
          <w:b/>
          <w:bCs/>
          <w:color w:val="1A1A2E"/>
          <w:sz w:val="32"/>
          <w:szCs w:val="32"/>
        </w:rPr>
        <w:t xml:space="preserve">12. Future Considerations</w:t>
      </w:r>
    </w:p>
    <w:p>
      <w:pPr>
        <w:pStyle w:val="Heading2"/>
        <w:spacing w:after="120" w:before="240"/>
      </w:pPr>
      <w:r>
        <w:rPr>
          <w:rFonts w:ascii="Arial" w:cs="Arial" w:eastAsia="Arial" w:hAnsi="Arial"/>
          <w:b/>
          <w:bCs/>
          <w:color w:val="2E5FA3"/>
          <w:sz w:val="28"/>
          <w:szCs w:val="28"/>
        </w:rPr>
        <w:t xml:space="preserve">12.1 Production Scaling</w:t>
      </w:r>
    </w:p>
    <w:p>
      <w:pPr>
        <w:pStyle w:val="ListParagraph"/>
        <w:numPr>
          <w:ilvl w:val="0"/>
          <w:numId w:val="2"/>
        </w:numPr>
        <w:spacing w:after="40" w:before="40"/>
      </w:pPr>
      <w:r>
        <w:rPr>
          <w:rFonts w:ascii="Arial" w:cs="Arial" w:eastAsia="Arial" w:hAnsi="Arial"/>
          <w:sz w:val="22"/>
          <w:szCs w:val="22"/>
        </w:rPr>
        <w:t xml:space="preserve">Replace local Prometheus TSDB with Grafana Mimir or Thanos for long-term, highly available metrics storage.</w:t>
      </w:r>
    </w:p>
    <w:p>
      <w:pPr>
        <w:pStyle w:val="ListParagraph"/>
        <w:numPr>
          <w:ilvl w:val="0"/>
          <w:numId w:val="2"/>
        </w:numPr>
        <w:spacing w:after="40" w:before="40"/>
      </w:pPr>
      <w:r>
        <w:rPr>
          <w:rFonts w:ascii="Arial" w:cs="Arial" w:eastAsia="Arial" w:hAnsi="Arial"/>
          <w:sz w:val="22"/>
          <w:szCs w:val="22"/>
        </w:rPr>
        <w:t xml:space="preserve">Replace local Loki with Grafana Cloud Loki or a managed object-storage-backed Loki cluster.</w:t>
      </w:r>
    </w:p>
    <w:p>
      <w:pPr>
        <w:pStyle w:val="ListParagraph"/>
        <w:numPr>
          <w:ilvl w:val="0"/>
          <w:numId w:val="2"/>
        </w:numPr>
        <w:spacing w:after="40" w:before="40"/>
      </w:pPr>
      <w:r>
        <w:rPr>
          <w:rFonts w:ascii="Arial" w:cs="Arial" w:eastAsia="Arial" w:hAnsi="Arial"/>
          <w:sz w:val="22"/>
          <w:szCs w:val="22"/>
        </w:rPr>
        <w:t xml:space="preserve">Add tail-based sampling in the OTel Collector: collect 100% of error traces, 10% of success traces.</w:t>
      </w:r>
    </w:p>
    <w:p>
      <w:pPr>
        <w:pStyle w:val="ListParagraph"/>
        <w:numPr>
          <w:ilvl w:val="0"/>
          <w:numId w:val="2"/>
        </w:numPr>
        <w:spacing w:after="40" w:before="40"/>
      </w:pPr>
      <w:r>
        <w:rPr>
          <w:rFonts w:ascii="Arial" w:cs="Arial" w:eastAsia="Arial" w:hAnsi="Arial"/>
          <w:sz w:val="22"/>
          <w:szCs w:val="22"/>
        </w:rPr>
        <w:t xml:space="preserve">Integrate Alertmanager with PagerDuty for on-call rotation and escalation policies.</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12.2 Additional Instrumentation</w:t>
      </w:r>
    </w:p>
    <w:p>
      <w:pPr>
        <w:pStyle w:val="ListParagraph"/>
        <w:numPr>
          <w:ilvl w:val="0"/>
          <w:numId w:val="2"/>
        </w:numPr>
        <w:spacing w:after="40" w:before="40"/>
      </w:pPr>
      <w:r>
        <w:rPr>
          <w:rFonts w:ascii="Arial" w:cs="Arial" w:eastAsia="Arial" w:hAnsi="Arial"/>
          <w:sz w:val="22"/>
          <w:szCs w:val="22"/>
        </w:rPr>
        <w:t xml:space="preserve">Database query instrumentation: prom-client histogram for PostgreSQL query latency per model.</w:t>
      </w:r>
    </w:p>
    <w:p>
      <w:pPr>
        <w:pStyle w:val="ListParagraph"/>
        <w:numPr>
          <w:ilvl w:val="0"/>
          <w:numId w:val="2"/>
        </w:numPr>
        <w:spacing w:after="40" w:before="40"/>
      </w:pPr>
      <w:r>
        <w:rPr>
          <w:rFonts w:ascii="Arial" w:cs="Arial" w:eastAsia="Arial" w:hAnsi="Arial"/>
          <w:sz w:val="22"/>
          <w:szCs w:val="22"/>
        </w:rPr>
        <w:t xml:space="preserve">MinIO upload latency tracking as a know-hub business metric.</w:t>
      </w:r>
    </w:p>
    <w:p>
      <w:pPr>
        <w:pStyle w:val="ListParagraph"/>
        <w:numPr>
          <w:ilvl w:val="0"/>
          <w:numId w:val="2"/>
        </w:numPr>
        <w:spacing w:after="40" w:before="40"/>
      </w:pPr>
      <w:r>
        <w:rPr>
          <w:rFonts w:ascii="Arial" w:cs="Arial" w:eastAsia="Arial" w:hAnsi="Arial"/>
          <w:sz w:val="22"/>
          <w:szCs w:val="22"/>
        </w:rPr>
        <w:t xml:space="preserve">Keycloak metrics endpoint integration into Prometheus scrape targets.</w:t>
      </w:r>
    </w:p>
    <w:p>
      <w:pPr>
        <w:pStyle w:val="ListParagraph"/>
        <w:numPr>
          <w:ilvl w:val="0"/>
          <w:numId w:val="2"/>
        </w:numPr>
        <w:spacing w:after="40" w:before="40"/>
      </w:pPr>
      <w:r>
        <w:rPr>
          <w:rFonts w:ascii="Arial" w:cs="Arial" w:eastAsia="Arial" w:hAnsi="Arial"/>
          <w:sz w:val="22"/>
          <w:szCs w:val="22"/>
        </w:rPr>
        <w:t xml:space="preserve">Kong Prometheus plugin for gateway-level metrics: upstream latency, rate limit hits, plugin execution time.</w:t>
      </w:r>
    </w:p>
    <w:p>
      <w:pPr>
        <w:spacing w:after="80" w:before="80"/>
      </w:pPr>
      <w:r>
        <w:t xml:space="preserve"/>
      </w:r>
    </w:p>
    <w:p>
      <w:pPr>
        <w:pStyle w:val="Heading2"/>
        <w:spacing w:after="120" w:before="240"/>
      </w:pPr>
      <w:r>
        <w:rPr>
          <w:rFonts w:ascii="Arial" w:cs="Arial" w:eastAsia="Arial" w:hAnsi="Arial"/>
          <w:b/>
          <w:bCs/>
          <w:color w:val="2E5FA3"/>
          <w:sz w:val="28"/>
          <w:szCs w:val="28"/>
        </w:rPr>
        <w:t xml:space="preserve">12.3 Continuous Profiling (Future)</w:t>
      </w:r>
    </w:p>
    <w:p>
      <w:pPr>
        <w:spacing w:after="120" w:before="80"/>
      </w:pPr>
      <w:r>
        <w:rPr>
          <w:rFonts w:ascii="Arial" w:cs="Arial" w:eastAsia="Arial" w:hAnsi="Arial"/>
          <w:sz w:val="22"/>
          <w:szCs w:val="22"/>
        </w:rPr>
        <w:t xml:space="preserve">Continuous profiling (Pyroscope) is the fourth pillar of observability after metrics, logs, and traces. It captures CPU and memory flame graphs continuously in production. This is out of scope for the current upskilling iteration but is the natural next observability investment after traces are stable.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00"/>
              <w:left w:type="dxa" w:w="160"/>
              <w:bottom w:type="dxa" w:w="100"/>
              <w:right w:type="dxa" w:w="160"/>
            </w:tcMar>
          </w:tcPr>
          <w:p>
            <w:r>
              <w:rPr>
                <w:rFonts w:ascii="Arial" w:cs="Arial" w:eastAsia="Arial" w:hAnsi="Arial"/>
                <w:b/>
                <w:bCs/>
                <w:color w:val="2E5FA3"/>
                <w:sz w:val="20"/>
                <w:szCs w:val="20"/>
              </w:rPr>
              <w:t xml:space="preserve">DOCUMENT STATUS</w:t>
            </w:r>
          </w:p>
          <w:p>
            <w:r>
              <w:rPr>
                <w:rFonts w:ascii="Arial" w:cs="Arial" w:eastAsia="Arial" w:hAnsi="Arial"/>
                <w:sz w:val="20"/>
                <w:szCs w:val="20"/>
              </w:rPr>
              <w:t xml:space="preserve">Version 1.0. This document defines the target observability architecture. Implementation is in progress as part of the Brainwave upskilling project. The Docker Compose observability stack, configuration files, and service instrumentation changes will be tracked separately.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rFonts w:ascii="Arial" w:cs="Arial" w:eastAsia="Arial" w:hAnsi="Arial"/>
        <w:color w:val="888888"/>
        <w:sz w:val="18"/>
        <w:szCs w:val="18"/>
      </w:rPr>
      <w:t xml:space="preserve">Brainwave — Upskilling Project  |  Confidential</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jc w:val="right"/>
    </w:pPr>
    <w:r>
      <w:rPr>
        <w:rFonts w:ascii="Arial" w:cs="Arial" w:eastAsia="Arial" w:hAnsi="Arial"/>
        <w:color w:val="888888"/>
        <w:sz w:val="18"/>
        <w:szCs w:val="18"/>
      </w:rPr>
      <w:t xml:space="preserve">BRAINWAVE  |  Observability &amp; Monitoring TDD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2026-05-12T14:50:07.657Z</dcterms:created>
  <dcterms:modified xsi:type="dcterms:W3CDTF">2026-05-12T14:50:07.657Z</dcterms:modified>
</cp:coreProperties>
</file>

<file path=docProps/custom.xml><?xml version="1.0" encoding="utf-8"?>
<Properties xmlns="http://schemas.openxmlformats.org/officeDocument/2006/custom-properties" xmlns:vt="http://schemas.openxmlformats.org/officeDocument/2006/docPropsVTypes"/>
</file>