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360" w:before="240"/>
        <w:contextualSpacing w:val="false"/>
      </w:pPr>
      <w:r>
        <w:rPr>
          <w:lang w:val="en-US"/>
        </w:rPr>
      </w:r>
    </w:p>
    <w:p>
      <w:pPr>
        <w:pStyle w:val="style1"/>
      </w:pPr>
      <w:r>
        <w:rPr>
          <w:lang w:val="en-US"/>
        </w:rPr>
      </w:r>
    </w:p>
    <w:p>
      <w:pPr>
        <w:pStyle w:val="style1"/>
      </w:pPr>
      <w:r>
        <w:rPr>
          <w:lang w:val="en-US"/>
        </w:rPr>
      </w:r>
    </w:p>
    <w:p>
      <w:pPr>
        <w:pStyle w:val="style1"/>
      </w:pPr>
      <w:r>
        <w:rPr>
          <w:lang w:val="en-US"/>
        </w:rPr>
      </w:r>
    </w:p>
    <w:p>
      <w:pPr>
        <w:pStyle w:val="style1"/>
      </w:pPr>
      <w:r>
        <w:rPr>
          <w:lang w:val="en-US"/>
        </w:rPr>
      </w:r>
    </w:p>
    <w:p>
      <w:pPr>
        <w:pStyle w:val="style1"/>
      </w:pPr>
      <w:r>
        <w:rPr>
          <w:lang w:val="en-US"/>
        </w:rPr>
      </w:r>
    </w:p>
    <w:p>
      <w:pPr>
        <w:pStyle w:val="style1"/>
      </w:pPr>
      <w:r>
        <w:rPr>
          <w:lang w:val="en-US"/>
        </w:rPr>
        <w:t>Running an assimilation experiment with SECHIBA – YAO</w:t>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jc w:val="right"/>
      </w:pPr>
      <w:r>
        <w:rPr>
          <w:lang w:val="en-US"/>
        </w:rPr>
        <w:t>Author:</w:t>
      </w:r>
    </w:p>
    <w:p>
      <w:pPr>
        <w:pStyle w:val="style0"/>
        <w:jc w:val="right"/>
      </w:pPr>
      <w:r>
        <w:rPr>
          <w:lang w:val="en-US"/>
        </w:rPr>
      </w:r>
    </w:p>
    <w:p>
      <w:pPr>
        <w:pStyle w:val="style0"/>
        <w:jc w:val="right"/>
      </w:pPr>
      <w:r>
        <w:rPr>
          <w:lang w:val="en-US"/>
        </w:rPr>
        <w:t>Hector Simon Benavides Pinjosovsky</w:t>
      </w:r>
    </w:p>
    <w:p>
      <w:pPr>
        <w:pStyle w:val="style0"/>
        <w:jc w:val="right"/>
      </w:pPr>
      <w:r>
        <w:rPr>
          <w:lang w:val="en-US"/>
        </w:rPr>
        <w:t>email: spinjosovsky@gmail.com</w:t>
      </w:r>
    </w:p>
    <w:p>
      <w:pPr>
        <w:pStyle w:val="style2"/>
      </w:pPr>
      <w:r>
        <w:rPr/>
      </w:r>
    </w:p>
    <w:p>
      <w:pPr>
        <w:pStyle w:val="style2"/>
      </w:pPr>
      <w:r>
        <w:rPr/>
      </w:r>
    </w:p>
    <w:p>
      <w:pPr>
        <w:pStyle w:val="style2"/>
      </w:pPr>
      <w:r>
        <w:rPr/>
      </w:r>
    </w:p>
    <w:p>
      <w:pPr>
        <w:pStyle w:val="style2"/>
      </w:pPr>
      <w:r>
        <w:rPr/>
        <w:t>Introduction</w:t>
      </w:r>
    </w:p>
    <w:p>
      <w:pPr>
        <w:pStyle w:val="style33"/>
      </w:pPr>
      <w:r>
        <w:rPr/>
      </w:r>
    </w:p>
    <w:p>
      <w:pPr>
        <w:pStyle w:val="style33"/>
      </w:pPr>
      <w:r>
        <w:rPr>
          <w:i w:val="false"/>
          <w:iCs w:val="false"/>
        </w:rPr>
        <w:t xml:space="preserve">The energy and water budget modules of the ORCHIDEE land surface model (SECHIBA) describes the exchanges of water and energy between the surface and the atmosphere.  At a given location, soil and climate conditions, we can use remote sensed data in the assimilation process as forcing. </w:t>
      </w:r>
    </w:p>
    <w:p>
      <w:pPr>
        <w:pStyle w:val="style33"/>
      </w:pPr>
      <w:r>
        <w:rPr>
          <w:i w:val="false"/>
          <w:iCs w:val="false"/>
        </w:rPr>
        <w:t>The distributed version of SECHIBA-YAO provides an opportunity for scientists to perform their own assimilation. The users can perform 4DVAR assimilation  in a point with their own forcing file. SECHIBA-YAO allows the control of the five most influential internal parameters of SECHIBA (with respect to the vegetation type). Land surface temperature can be used as observations.</w:t>
      </w:r>
    </w:p>
    <w:p>
      <w:pPr>
        <w:pStyle w:val="style33"/>
      </w:pPr>
      <w:r>
        <w:rPr>
          <w:i w:val="false"/>
          <w:iCs w:val="false"/>
        </w:rPr>
        <w:t>The parameters considered in the twin experiments are taken from the sensitivity analysis results presented in Benavides (2014). Each experiment was perturbed with a uniform distribution random noise reaching 50% of the parameter nominal value</w:t>
      </w:r>
    </w:p>
    <w:p>
      <w:pPr>
        <w:pStyle w:val="style33"/>
      </w:pPr>
      <w:r>
        <w:rPr>
          <w:i w:val="false"/>
          <w:iCs w:val="false"/>
        </w:rPr>
        <w:t xml:space="preserve"> </w:t>
      </w:r>
      <w:r>
        <w:rPr>
          <w:i w:val="false"/>
          <w:iCs w:val="false"/>
          <w:u w:val="single"/>
        </w:rPr>
        <w:t>In Experiment</w:t>
      </w:r>
      <w:r>
        <w:rPr>
          <w:i w:val="false"/>
          <w:iCs w:val="false"/>
        </w:rPr>
        <w:t xml:space="preserve"> 1 the five most sensitive parameters are controlled in bare soil conditions, during one week in  Harvard Forest sites. </w:t>
      </w:r>
    </w:p>
    <w:p>
      <w:pPr>
        <w:pStyle w:val="style33"/>
      </w:pPr>
      <w:r>
        <w:rPr>
          <w:i w:val="false"/>
          <w:iCs w:val="false"/>
          <w:u w:val="single"/>
        </w:rPr>
        <w:t>In Experiment 2</w:t>
      </w:r>
      <w:r>
        <w:rPr>
          <w:i w:val="false"/>
          <w:iCs w:val="false"/>
        </w:rPr>
        <w:t xml:space="preserve"> the five most sensitive parameters are controlled in conditions of agricuktural C3 (PFT 12) in Harvard Forest site during a week. </w:t>
      </w:r>
    </w:p>
    <w:p>
      <w:pPr>
        <w:pStyle w:val="style33"/>
      </w:pPr>
      <w:r>
        <w:rPr>
          <w:i w:val="false"/>
          <w:iCs w:val="false"/>
        </w:rPr>
        <w:t xml:space="preserve">For both experiments, an instruction file is given. This file (extension .i) is necessary in order to run an experiment through SECHIBA -YAO. It includes the initialization of the inner parameters and model variables, parameters perturbed values prior to assimilation and the  presentation of the final results after the assimilation process. </w:t>
      </w:r>
    </w:p>
    <w:p>
      <w:pPr>
        <w:pStyle w:val="style33"/>
      </w:pPr>
      <w:r>
        <w:rPr>
          <w:i w:val="false"/>
          <w:iCs w:val="false"/>
        </w:rPr>
        <w:t>In the next sections, the structure of the instruction file is presented for the experiment 1, pointing out the parts that can be modifiable by the user and the different key words needed to run an assimilation experiment</w:t>
      </w:r>
    </w:p>
    <w:p>
      <w:pPr>
        <w:pStyle w:val="style33"/>
      </w:pPr>
      <w:r>
        <w:rPr>
          <w:i w:val="false"/>
          <w:iCs w:val="false"/>
        </w:rPr>
      </w:r>
    </w:p>
    <w:p>
      <w:pPr>
        <w:pStyle w:val="style2"/>
      </w:pPr>
      <w:r>
        <w:rPr>
          <w:lang w:val="en-US"/>
        </w:rPr>
      </w:r>
    </w:p>
    <w:p>
      <w:pPr>
        <w:pStyle w:val="style1"/>
      </w:pPr>
      <w:r>
        <w:rPr/>
        <w:t>1. Installing and using SECHIBA – YAO</w:t>
      </w:r>
    </w:p>
    <w:p>
      <w:pPr>
        <w:pStyle w:val="style33"/>
      </w:pPr>
      <w:r>
        <w:rPr/>
        <w:t>SECHIBA – YAO must be installer in a linux-based operational system. In order to installed it, you have to deploy the compressed file in your local environment and run the makefile to generate the executable.</w:t>
      </w:r>
    </w:p>
    <w:p>
      <w:pPr>
        <w:pStyle w:val="style33"/>
      </w:pPr>
      <w:r>
        <w:rPr/>
        <w:t>There are several folders in SECHIBA-YAO distribution</w:t>
      </w:r>
    </w:p>
    <w:p>
      <w:pPr>
        <w:pStyle w:val="style33"/>
        <w:numPr>
          <w:ilvl w:val="0"/>
          <w:numId w:val="4"/>
        </w:numPr>
      </w:pPr>
      <w:r>
        <w:rPr/>
        <w:t xml:space="preserve">the </w:t>
      </w:r>
      <w:r>
        <w:rPr>
          <w:i/>
          <w:iCs/>
        </w:rPr>
        <w:t>example</w:t>
      </w:r>
      <w:r>
        <w:rPr/>
        <w:t xml:space="preserve"> folder contains everything you need to run experiments 1 and 2: forcing files, inputs, instruction files and outputs</w:t>
      </w:r>
    </w:p>
    <w:p>
      <w:pPr>
        <w:pStyle w:val="style33"/>
        <w:numPr>
          <w:ilvl w:val="0"/>
          <w:numId w:val="4"/>
        </w:numPr>
      </w:pPr>
      <w:r>
        <w:rPr/>
        <w:t xml:space="preserve">the </w:t>
      </w:r>
      <w:r>
        <w:rPr>
          <w:i/>
          <w:iCs/>
        </w:rPr>
        <w:t>doc</w:t>
      </w:r>
      <w:r>
        <w:rPr/>
        <w:t xml:space="preserve"> folder contains the instruction manual and some other interesting documents</w:t>
      </w:r>
    </w:p>
    <w:p>
      <w:pPr>
        <w:pStyle w:val="style33"/>
        <w:numPr>
          <w:ilvl w:val="0"/>
          <w:numId w:val="4"/>
        </w:numPr>
      </w:pPr>
      <w:r>
        <w:rPr/>
        <w:t>The other folders contain the  files needed to compile and run SECHIBA-YAO</w:t>
      </w:r>
    </w:p>
    <w:p>
      <w:pPr>
        <w:pStyle w:val="style33"/>
      </w:pPr>
      <w:r>
        <w:rPr/>
        <w:t>Once the installation process is done, the software need an instruction file in order to run the different experiences. There are two instruction files provided with this release, corresponding to experiment 1 and 2, mentioned in the introduction. In the next part, the structure of the instruction file is explained.</w:t>
      </w:r>
    </w:p>
    <w:p>
      <w:pPr>
        <w:pStyle w:val="style33"/>
      </w:pPr>
      <w:r>
        <w:rPr/>
        <w:t>Running SECHIBA -YAO is done by using this command:</w:t>
      </w:r>
    </w:p>
    <w:p>
      <w:pPr>
        <w:pStyle w:val="style33"/>
        <w:jc w:val="center"/>
      </w:pPr>
      <w:r>
        <w:rPr>
          <w:i/>
          <w:iCs/>
        </w:rPr>
        <w:t xml:space="preserve"> </w:t>
      </w:r>
      <w:r>
        <w:rPr>
          <w:i/>
          <w:iCs/>
        </w:rPr>
        <w:t>./bin/sechiba -i ./examples/assim_HV_PFT12.i</w:t>
      </w:r>
    </w:p>
    <w:p>
      <w:pPr>
        <w:pStyle w:val="style33"/>
        <w:jc w:val="both"/>
      </w:pPr>
      <w:r>
        <w:rPr>
          <w:i w:val="false"/>
          <w:iCs w:val="false"/>
        </w:rPr>
        <w:t xml:space="preserve">where </w:t>
      </w:r>
      <w:r>
        <w:rPr>
          <w:i/>
          <w:iCs/>
        </w:rPr>
        <w:t>./examples/assim_HV_PFT1.i</w:t>
      </w:r>
      <w:r>
        <w:rPr>
          <w:i w:val="false"/>
          <w:iCs w:val="false"/>
        </w:rPr>
        <w:t xml:space="preserve"> is the location of the instruction file </w:t>
      </w:r>
    </w:p>
    <w:p>
      <w:pPr>
        <w:pStyle w:val="style33"/>
        <w:jc w:val="both"/>
      </w:pPr>
      <w:r>
        <w:rPr>
          <w:i/>
          <w:iCs/>
        </w:rPr>
      </w:r>
    </w:p>
    <w:p>
      <w:pPr>
        <w:pStyle w:val="style1"/>
      </w:pPr>
      <w:r>
        <w:rPr/>
        <w:t>2. Instruction file</w:t>
      </w:r>
    </w:p>
    <w:p>
      <w:pPr>
        <w:pStyle w:val="style2"/>
      </w:pPr>
      <w:r>
        <w:rPr>
          <w:lang w:val="en-US"/>
        </w:rPr>
        <w:t>Mandatory functions</w:t>
      </w:r>
    </w:p>
    <w:p>
      <w:pPr>
        <w:pStyle w:val="style0"/>
      </w:pPr>
      <w:r>
        <w:rPr>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0) MANDATORY FUNCTIONS</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PDF Inizialization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xPFT 1 0 0 0 0 0 0 0 0 0 0 0 0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Select the day of the beginning of the experiment (in step time)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xbypass_jour 3216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Forcing file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xinit_forcing ./examples/forcing/ 1996US-Ha1.nc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Initial values of the model parameters  (don't modify)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 rsol   socapa_wet   socapa_dry  min_drain  max_drain  exp_drain   so_capa   so_cond  dpu_cste   mx_eau_eau  rveg   z0_p  z0_over_height  albvis   albnir  emissitive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xparam_init 33000   3.03e+06     1.80e+6      0.001       0.2        1.5         1          1        2          150       1      1       0.046          1        1</w:t>
        <w:tab/>
        <w:t xml:space="preserve">  0.96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Initials humcste values, one for each PFT (don't modify)###########</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h1  h2  h3  h4  h5  h6  h7  h8  h9  h10  h11  h12  h13</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xparam_humrel 5  0.8  0.8 1  0.8  0.8  1  1  0.8   4    4    4   4  </w:t>
      </w:r>
    </w:p>
    <w:p>
      <w:pPr>
        <w:pStyle w:val="style33"/>
        <w:jc w:val="center"/>
      </w:pPr>
      <w:r>
        <w:rPr>
          <w:lang w:val="en-US"/>
        </w:rPr>
        <w:t>Figure 1. Mandatory functions</w:t>
      </w:r>
    </w:p>
    <w:p>
      <w:pPr>
        <w:pStyle w:val="style33"/>
      </w:pPr>
      <w:r>
        <w:rPr>
          <w:lang w:val="en-US"/>
        </w:rPr>
        <w:t xml:space="preserve">The first section is a function section (0) containing a number of mandatory functions needed to run SECHIBA-YAO. </w:t>
      </w:r>
    </w:p>
    <w:p>
      <w:pPr>
        <w:pStyle w:val="style33"/>
        <w:numPr>
          <w:ilvl w:val="0"/>
          <w:numId w:val="1"/>
        </w:numPr>
        <w:ind w:hanging="360" w:left="1230" w:right="0"/>
      </w:pPr>
      <w:r>
        <w:rPr/>
      </w:r>
    </w:p>
    <w:p>
      <w:pPr>
        <w:pStyle w:val="style33"/>
        <w:numPr>
          <w:ilvl w:val="0"/>
          <w:numId w:val="1"/>
        </w:numPr>
        <w:ind w:hanging="360" w:left="1230" w:right="0"/>
      </w:pPr>
      <w:r>
        <w:rPr>
          <w:b/>
          <w:lang w:val="en-US"/>
        </w:rPr>
        <w:t xml:space="preserve">Xbypass_jour </w:t>
      </w:r>
      <w:r>
        <w:rPr>
          <w:lang w:val="en-US"/>
        </w:rPr>
        <w:t>allows to start the assimilation in a determined date of the year. It is obtained by multiplying the day number of the year by the step time in a single day (48). For example the day 3216 correspond to the 07-03</w:t>
      </w:r>
    </w:p>
    <w:p>
      <w:pPr>
        <w:pStyle w:val="style33"/>
        <w:numPr>
          <w:ilvl w:val="0"/>
          <w:numId w:val="1"/>
        </w:numPr>
        <w:ind w:hanging="360" w:left="1230" w:right="0"/>
      </w:pPr>
      <w:r>
        <w:rPr>
          <w:b/>
          <w:lang w:val="en-US"/>
        </w:rPr>
        <w:t>Xparam_init</w:t>
      </w:r>
      <w:r>
        <w:rPr>
          <w:lang w:val="en-US"/>
        </w:rPr>
        <w:t xml:space="preserve"> allows to initialize the different parameters. They cannot be modified by the user. These are SECHIBA inner parameter values.</w:t>
      </w:r>
    </w:p>
    <w:p>
      <w:pPr>
        <w:pStyle w:val="style33"/>
        <w:numPr>
          <w:ilvl w:val="0"/>
          <w:numId w:val="1"/>
        </w:numPr>
        <w:ind w:hanging="360" w:left="1230" w:right="0"/>
      </w:pPr>
      <w:r>
        <w:rPr>
          <w:b/>
          <w:lang w:val="en-US"/>
        </w:rPr>
        <w:t>Xparam_humrel</w:t>
      </w:r>
      <w:r>
        <w:rPr>
          <w:lang w:val="en-US"/>
        </w:rPr>
        <w:t xml:space="preserve"> initialize moisture processes parameters. This cannot be changed.</w:t>
      </w:r>
    </w:p>
    <w:p>
      <w:pPr>
        <w:pStyle w:val="style33"/>
        <w:numPr>
          <w:ilvl w:val="0"/>
          <w:numId w:val="1"/>
        </w:numPr>
        <w:ind w:hanging="360" w:left="1230" w:right="0"/>
      </w:pPr>
      <w:r>
        <w:rPr>
          <w:lang w:val="en-US"/>
        </w:rPr>
        <w:t xml:space="preserve">Finally the function </w:t>
      </w:r>
      <w:r>
        <w:rPr>
          <w:b/>
          <w:lang w:val="en-US"/>
        </w:rPr>
        <w:t>xinit_forcing</w:t>
      </w:r>
      <w:r>
        <w:rPr>
          <w:lang w:val="en-US"/>
        </w:rPr>
        <w:t xml:space="preserve"> contains the path to the forcing file. If forcing files are longer than a year, they must be separated in a file per year, SECHIBA-YAO will automatically append each year. The format of the files must be netcdf with a specific structure that can be detailed in the examples files given in the distributed version</w:t>
      </w:r>
    </w:p>
    <w:p>
      <w:pPr>
        <w:pStyle w:val="style33"/>
        <w:numPr>
          <w:ilvl w:val="0"/>
          <w:numId w:val="1"/>
        </w:numPr>
        <w:ind w:hanging="360" w:left="1230" w:right="0"/>
      </w:pPr>
      <w:r>
        <w:rPr>
          <w:lang w:val="en-US"/>
        </w:rPr>
        <w:t xml:space="preserve">The function </w:t>
      </w:r>
      <w:r>
        <w:rPr>
          <w:b/>
          <w:lang w:val="en-US"/>
        </w:rPr>
        <w:t>xPFT</w:t>
      </w:r>
      <w:r>
        <w:rPr>
          <w:lang w:val="en-US"/>
        </w:rPr>
        <w:t xml:space="preserve"> serves to initialize the PFT according to the Plant Functional Type wished for the experiment. A number between 0 and 1 represent the percentage of each type of vegetation. Several vegetation type can be configured at the same time. For example if we have for a given point bare soil (PFT 1) and agricultural C3 (PFT 12), the function must be configured as follows: </w:t>
      </w:r>
      <w:r>
        <w:rPr>
          <w:sz w:val="16"/>
          <w:szCs w:val="16"/>
          <w:lang w:val="en-US"/>
        </w:rPr>
        <w:t xml:space="preserve"> </w:t>
      </w:r>
      <w:r>
        <w:rPr>
          <w:i/>
          <w:iCs/>
          <w:sz w:val="20"/>
          <w:szCs w:val="20"/>
          <w:lang w:val="en-US"/>
        </w:rPr>
        <w:t>xPFT 0.3 0 0 0 0 0 0 0 0 0 0 0.7 0</w:t>
      </w:r>
      <w:r>
        <w:rPr>
          <w:i w:val="false"/>
          <w:iCs w:val="false"/>
          <w:sz w:val="20"/>
          <w:szCs w:val="20"/>
          <w:lang w:val="en-US"/>
        </w:rPr>
        <w:t xml:space="preserve">. </w:t>
      </w:r>
      <w:r>
        <w:rPr/>
        <w:t>Each number correspond to the percentage of PFT in the point of study. For more information on PFT description, consult d'Orgeval (2006) or Benavides (2014)</w:t>
      </w:r>
    </w:p>
    <w:p>
      <w:pPr>
        <w:pStyle w:val="style0"/>
      </w:pPr>
      <w:r>
        <w:rPr>
          <w:lang w:val="en-US"/>
        </w:rPr>
      </w:r>
    </w:p>
    <w:p>
      <w:pPr>
        <w:pStyle w:val="style0"/>
      </w:pPr>
      <w:r>
        <w:rPr>
          <w:lang w:val="en-US"/>
        </w:rPr>
      </w:r>
    </w:p>
    <w:p>
      <w:pPr>
        <w:pStyle w:val="style2"/>
      </w:pPr>
      <w:r>
        <w:rPr>
          <w:lang w:val="en-US"/>
        </w:rPr>
        <w:t xml:space="preserve">Model initialization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1) MODEL INITIALIZATION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Variables initial Conditions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temp_sol</w:t>
        <w:tab/>
        <w:t>273</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netrad </w:t>
        <w:tab/>
        <w:t>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fluxsens </w:t>
        <w:tab/>
        <w:t>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fluxlat </w:t>
        <w:tab/>
        <w:t>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evapnu </w:t>
        <w:tab/>
        <w:t>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transpir </w:t>
        <w:tab/>
        <w:t>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ptn </w:t>
        <w:tab/>
        <w:tab/>
        <w:t>273</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qsintveg </w:t>
        <w:tab/>
        <w:t xml:space="preserve">0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Hydrological variables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h_c_1</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h_c_2</w:t>
        <w:tab/>
        <w:t>0</w:t>
        <w:tab/>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h_c_3 </w:t>
        <w:tab/>
        <w:t>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h_c_4 </w:t>
        <w:tab/>
        <w:t>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h_c_5 </w:t>
        <w:tab/>
        <w:t>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h_c_6 </w:t>
        <w:tab/>
        <w:t>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h_c_7 </w:t>
        <w:tab/>
        <w:t>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h_c_8 </w:t>
        <w:tab/>
        <w:t>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h_c_9 </w:t>
        <w:tab/>
        <w:t>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h_c_10 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h_c_11 0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h_c_12 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h_c_13 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bqsb_init 300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gqsb_init 0.001</w:t>
      </w:r>
    </w:p>
    <w:p>
      <w:pPr>
        <w:pStyle w:val="style33"/>
        <w:jc w:val="center"/>
      </w:pPr>
      <w:r>
        <w:rPr>
          <w:lang w:val="en-US"/>
        </w:rPr>
        <w:t>Figure 2. Model state initialization</w:t>
      </w:r>
    </w:p>
    <w:p>
      <w:pPr>
        <w:pStyle w:val="style33"/>
      </w:pPr>
      <w:r>
        <w:rPr>
          <w:lang w:val="en-US"/>
        </w:rPr>
        <w:t xml:space="preserve">In this section, two different parts are defined: The model state initialization and the parameter initialization. In figure 2, an example of model state initialization is presented. Each line corresponds to the initialization of a model variable. In particular, the </w:t>
      </w:r>
      <w:r>
        <w:rPr>
          <w:sz w:val="16"/>
          <w:szCs w:val="16"/>
          <w:lang w:val="en-US"/>
        </w:rPr>
        <w:t xml:space="preserve">h_c_ </w:t>
      </w:r>
      <w:r>
        <w:rPr>
          <w:lang w:val="en-US"/>
        </w:rPr>
        <w:t xml:space="preserve">variables correspond to the initial value of the soil water stress by PFT. This value is between 0 and 1.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Initialization of controllable parameters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rsol_c</w:t>
        <w:tab/>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min_drain_c</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rveg_c</w:t>
        <w:tab/>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z0_c</w:t>
        <w:tab/>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emis_c</w:t>
        <w:tab/>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so_capa_c</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so_cond_c</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mx_eau_c </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dpu_c</w:t>
        <w:tab/>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albvis_c </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hum_c_12</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hum_c_1</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hum_c_2</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hum_c_3</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hum_c_4</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hum_c_5</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hum_c_6</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hum_c_7</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hum_c_8</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hum_c_9</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hum_c_10</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hum_c_11</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hum_c_13</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bqsb_c</w:t>
        <w:tab/>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gqsb_c</w:t>
        <w:tab/>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so_dry_c</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so_wet_c</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mx_drain_c</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e_drain_c</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z0_over_c</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albnir_c</w:t>
        <w:tab/>
        <w:t>1</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eaumax</w:t>
        <w:tab/>
        <w:tab/>
        <w:t xml:space="preserve">208.46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eaumin</w:t>
        <w:tab/>
        <w:tab/>
        <w:t xml:space="preserve">175.6886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hummax</w:t>
        <w:tab/>
        <w:tab/>
        <w:t xml:space="preserve">0.24431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hummin</w:t>
        <w:tab/>
        <w:tab/>
        <w:t>0.14463</w:t>
      </w:r>
    </w:p>
    <w:p>
      <w:pPr>
        <w:pStyle w:val="style33"/>
        <w:jc w:val="center"/>
      </w:pPr>
      <w:r>
        <w:rPr>
          <w:lang w:val="en-US"/>
        </w:rPr>
        <w:t>Figure 3. Model parameter initialized</w:t>
      </w:r>
    </w:p>
    <w:p>
      <w:pPr>
        <w:pStyle w:val="style33"/>
      </w:pPr>
      <w:r>
        <w:rPr>
          <w:lang w:val="en-US"/>
        </w:rPr>
        <w:t xml:space="preserve">Afterwards, the model inner parameters must be initialized (Figure 3). Their value by default must be 1, in order to take the value defined in the mandatory section. If a value between 0 and 1 is taken, the parameter value is then multiply by the value defined in this section. In this experiment only 5 parameters are controlled: </w:t>
      </w:r>
      <w:r>
        <w:rPr>
          <w:i/>
          <w:iCs/>
          <w:lang w:val="en-US"/>
        </w:rPr>
        <w:t>so_cond_c, so_capa_c, z0_c, emis_c and albvis_c.</w:t>
      </w:r>
    </w:p>
    <w:p>
      <w:pPr>
        <w:pStyle w:val="style2"/>
      </w:pPr>
      <w:r>
        <w:rPr>
          <w:lang w:val="en-US"/>
        </w:rPr>
        <w:t>Forward run</w:t>
      </w:r>
    </w:p>
    <w:p>
      <w:pPr>
        <w:pStyle w:val="style33"/>
      </w:pPr>
      <w:r>
        <w:rPr>
          <w:lang w:val="en-US"/>
        </w:rPr>
        <w:t xml:space="preserve">In this section the direct model is computed once in order to have the model state in the time framework chosen for the experiment and to produce the synthetic observations needed to run the twin experiment.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2) FORWARD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set_modeltime 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FORWARD</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set_modeltime 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Saving variables and parameters after execution of the direct model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E_tempsol</w:t>
        <w:tab/>
        <w:t>1 i  0 A  3  ./examples/output/experience_jumelle/HV_PFT1/fluxes/E_tempsol_obs_HV.dat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E_tempsol</w:t>
        <w:tab/>
        <w:t>1 i  0 A  3  ./examples/output/experience_jumelle/HV_PFT1/fluxes/E_tempsol_obs2_HV.dat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E_fluxsens</w:t>
        <w:tab/>
        <w:t>1 i  0 A  3  ./examples/output/experience_jumelle/HV_PFT1/fluxes/E_fluxsens_obs_HV.dat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E_fluxlat</w:t>
        <w:tab/>
        <w:t>1 i  0 A  3  ./examples/output/experience_jumelle/HV_PFT1/fluxes/E_fluxlat_obs_HV.dat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H_soil_humrel1</w:t>
        <w:tab/>
        <w:t>1 i  0 A  3  ./examples/output/experience_jumelle/HV_PFT1/fluxes/E_humrel_obs_HV.dat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T_coef_diff</w:t>
        <w:tab/>
        <w:t>2 i  0 A  3  ./examples/output/experience_jumelle/HV_PFT1/fluxes/T_soilflx_obs_HV.dat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E_netrad</w:t>
        <w:tab/>
        <w:t>1 i  0 A  3  ./examples/output/experience_jumelle/HV_PFT1/fluxes/E_netrad_obs_HV.dat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H_soil_mean</w:t>
        <w:tab/>
        <w:t>1 ij 0 A  3  ./examples/output/experience_jumelle/HV_PFT1/fluxes/H_bqsb_obs_HV.dat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H_soil_mean</w:t>
        <w:tab/>
        <w:t>2 ij 0 A  3  ./examples/output/experience_jumelle/HV_PFT1/fluxes/H_gqsb_obs_HV.dat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z0_c 1 i 0 A 1  ./examples/output/experience_jumelle/HV_PFT1/param/z0_opt_HV.dat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so_cond_c 1 i 0 A 1 ./examples/output/experience_jumelle/HV_PFT1/param/so_cond_opt_HV.dat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so_capa_c 1 i 0 A 1 ./examples/output/experience_jumelle/HV_PFT1/param/so_capa_opt_HV.dat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emis_c 1 i 0 A 1 ./examples/output/experience_jumelle/HV_PFT1/param/emis_opt_HV.dat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albvis_c 1 i 0 A 1 ./examples/output/experience_jumelle/HV_PFT1/param/albvis_opt_HV.dat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Load Observations for the twin experiments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LOADOBS E_tempsol 1 i 0 A 1 ./examples/output/experience_jumelle/HV_PFT1/fluxes/E_tempsol_obs_HV.dat D</w:t>
      </w:r>
    </w:p>
    <w:p>
      <w:pPr>
        <w:pStyle w:val="style0"/>
      </w:pPr>
      <w:r>
        <w:rPr>
          <w:lang w:val="en-US"/>
        </w:rPr>
      </w:r>
    </w:p>
    <w:p>
      <w:pPr>
        <w:pStyle w:val="style0"/>
        <w:jc w:val="center"/>
      </w:pPr>
      <w:r>
        <w:rPr>
          <w:lang w:val="en-US"/>
        </w:rPr>
        <w:t>Figure 4. Direct model computing</w:t>
      </w:r>
    </w:p>
    <w:p>
      <w:pPr>
        <w:pStyle w:val="style0"/>
      </w:pPr>
      <w:r>
        <w:rPr>
          <w:lang w:val="en-US"/>
        </w:rPr>
        <w:t>Regarding the forward procedure, several keywords are needed</w:t>
      </w:r>
    </w:p>
    <w:p>
      <w:pPr>
        <w:pStyle w:val="style0"/>
      </w:pPr>
      <w:r>
        <w:rPr>
          <w:lang w:val="en-US"/>
        </w:rPr>
      </w:r>
    </w:p>
    <w:p>
      <w:pPr>
        <w:pStyle w:val="style33"/>
        <w:numPr>
          <w:ilvl w:val="0"/>
          <w:numId w:val="1"/>
        </w:numPr>
        <w:ind w:hanging="360" w:left="1230" w:right="0"/>
      </w:pPr>
      <w:r>
        <w:rPr>
          <w:lang w:val="en-US"/>
        </w:rPr>
        <w:t>Before computing the direct model, time frame is initialized (</w:t>
      </w:r>
      <w:r>
        <w:rPr>
          <w:i/>
          <w:iCs/>
          <w:lang w:val="en-US"/>
        </w:rPr>
        <w:t>set_modeltime 0</w:t>
      </w:r>
      <w:r>
        <w:rPr>
          <w:lang w:val="en-US"/>
        </w:rPr>
        <w:t>). Afterwards the forward is launch with the key work FORWARD</w:t>
      </w:r>
    </w:p>
    <w:p>
      <w:pPr>
        <w:pStyle w:val="style33"/>
        <w:numPr>
          <w:ilvl w:val="0"/>
          <w:numId w:val="1"/>
        </w:numPr>
        <w:ind w:hanging="360" w:left="1230" w:right="0"/>
      </w:pPr>
      <w:r>
        <w:rPr>
          <w:lang w:val="en-US"/>
        </w:rPr>
        <w:t xml:space="preserve">Model sate is saved afterwards, in particular the land surface temperature modeled in the time frame. The command </w:t>
      </w:r>
      <w:r>
        <w:rPr>
          <w:i/>
          <w:iCs/>
          <w:u w:val="none"/>
          <w:lang w:val="en-US"/>
        </w:rPr>
        <w:t>savestate</w:t>
      </w:r>
      <w:r>
        <w:rPr>
          <w:lang w:val="en-US"/>
        </w:rPr>
        <w:t xml:space="preserve"> allows us to perform this task. </w:t>
      </w:r>
    </w:p>
    <w:p>
      <w:pPr>
        <w:pStyle w:val="style33"/>
        <w:numPr>
          <w:ilvl w:val="0"/>
          <w:numId w:val="1"/>
        </w:numPr>
        <w:ind w:hanging="360" w:left="1230" w:right="0"/>
      </w:pPr>
      <w:r>
        <w:rPr>
          <w:lang w:val="en-US"/>
        </w:rPr>
        <w:t>Finally , in this section the observations are loaded and they are available for the assimilation process (</w:t>
      </w:r>
      <w:r>
        <w:rPr>
          <w:i/>
          <w:iCs/>
          <w:lang w:val="en-US"/>
        </w:rPr>
        <w:t>LOADOBS</w:t>
      </w:r>
      <w:r>
        <w:rPr>
          <w:lang w:val="en-US"/>
        </w:rPr>
        <w:t xml:space="preserve"> command)</w:t>
      </w:r>
    </w:p>
    <w:p>
      <w:pPr>
        <w:pStyle w:val="style0"/>
      </w:pPr>
      <w:r>
        <w:rPr>
          <w:lang w:val="en-US"/>
        </w:rPr>
      </w:r>
    </w:p>
    <w:p>
      <w:pPr>
        <w:pStyle w:val="style0"/>
      </w:pPr>
      <w:r>
        <w:rPr>
          <w:lang w:val="en-US"/>
        </w:rPr>
        <w:t>In order to take a value to initialize the variable, the function format has to be respected</w:t>
      </w:r>
    </w:p>
    <w:p>
      <w:pPr>
        <w:pStyle w:val="style33"/>
        <w:numPr>
          <w:ilvl w:val="0"/>
          <w:numId w:val="2"/>
        </w:numPr>
      </w:pPr>
      <w:r>
        <w:rPr>
          <w:lang w:val="en-US"/>
        </w:rPr>
        <w:t xml:space="preserve">Starting with </w:t>
      </w:r>
      <w:r>
        <w:rPr>
          <w:b/>
          <w:lang w:val="en-US"/>
        </w:rPr>
        <w:t>loadstate</w:t>
      </w:r>
      <w:r>
        <w:rPr>
          <w:lang w:val="en-US"/>
        </w:rPr>
        <w:t xml:space="preserve"> sentence, followed by the variable name</w:t>
      </w:r>
    </w:p>
    <w:p>
      <w:pPr>
        <w:pStyle w:val="style33"/>
        <w:numPr>
          <w:ilvl w:val="0"/>
          <w:numId w:val="2"/>
        </w:numPr>
      </w:pPr>
      <w:r>
        <w:rPr>
          <w:lang w:val="en-US"/>
        </w:rPr>
        <w:t>Next the different digits concerning inner parameter of the loadstate function must be preserved (</w:t>
      </w:r>
      <w:r>
        <w:rPr>
          <w:b/>
          <w:sz w:val="16"/>
          <w:szCs w:val="16"/>
          <w:lang w:val="en-US"/>
        </w:rPr>
        <w:t>1 i  0 A 1</w:t>
      </w:r>
      <w:r>
        <w:rPr>
          <w:lang w:val="en-US"/>
        </w:rPr>
        <w:t>)</w:t>
      </w:r>
    </w:p>
    <w:p>
      <w:pPr>
        <w:pStyle w:val="style33"/>
        <w:numPr>
          <w:ilvl w:val="0"/>
          <w:numId w:val="2"/>
        </w:numPr>
      </w:pPr>
      <w:r>
        <w:rPr>
          <w:lang w:val="en-US"/>
        </w:rPr>
        <w:t>User can only modify the path to their initial value (in a text file always in YAO format)</w:t>
      </w:r>
    </w:p>
    <w:p>
      <w:pPr>
        <w:pStyle w:val="style33"/>
      </w:pPr>
      <w:r>
        <w:rPr>
          <w:lang w:val="en-US"/>
        </w:rPr>
      </w:r>
    </w:p>
    <w:p>
      <w:pPr>
        <w:pStyle w:val="style2"/>
      </w:pPr>
      <w:r>
        <w:rPr/>
        <w:t>Minimization</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3) MINIMIZATION M1QN3  (without constrains)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Adding random noise to control parameters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z0_c</w:t>
        <w:tab/>
        <w:t xml:space="preserve">  </w:t>
        <w:tab/>
        <w:t xml:space="preserve">0.7182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so_capa_c  </w:t>
        <w:tab/>
        <w:t xml:space="preserve">0.5501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so_cond_c  </w:t>
        <w:tab/>
        <w:t xml:space="preserve">0.5102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setstate emis_c     </w:t>
        <w:tab/>
        <w:t xml:space="preserve">0.8531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setstate albvis_c</w:t>
        <w:tab/>
        <w:t xml:space="preserve">0.6175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Before Optimization (first guess)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set_modeltime 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FORWARD</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set_modeltime 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Saving First Guess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savestate z0_c </w:t>
        <w:tab/>
        <w:tab/>
        <w:t>1 i 0 A 1  ./examples/output/experience_jumelle/HV_PFT1/param/z0_init_HV.dat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savestate so_cond_c </w:t>
        <w:tab/>
        <w:t>1 i 0 A 1 ./examples/output/experience_jumelle/HV_PFT1/param/so_cond_init_HV.dat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savestate so_capa_c </w:t>
        <w:tab/>
        <w:t>1 i 0 A 1 ./examples/output/experience_jumelle/HV_PFT1/param/so_capa_init_HV.dat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savestate emis_c </w:t>
        <w:tab/>
        <w:t>1 i 0 A 1 ./examples/output/experience_jumelle/HV_PFT1/param/emis_init_HV.dat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savestate albvis_c </w:t>
        <w:tab/>
        <w:t>1 i 0 A 1 ./examples/output/experience_jumelle/HV_PFT1/param/albvis_init_HV.dat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savestate rsol_c </w:t>
        <w:tab/>
        <w:t>1 i 0 A 1  ./examples/output/experience_jumelle/HV_PFT1/param/rsol_c_init_HV.dat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savestate so_capa_c </w:t>
        <w:tab/>
        <w:t>1 i 0 A 1  ./examples/output/experience_jumelle/HV_PFT1/param/so_capa_init_HV.dat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savestate so_cond_c </w:t>
        <w:tab/>
        <w:t>1 i 0 A 1  ./examples/output/experience_jumelle/HV_PFT1/param/so_cond_init_HV.dat</w:t>
        <w:tab/>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savestate mx_eau_c </w:t>
        <w:tab/>
        <w:t>1 i 0 A 1  ./examples/output/experience_jumelle/HV_PFT1/param/mx_eau_init_HV.dat</w:t>
        <w:tab/>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dpu_c</w:t>
        <w:tab/>
        <w:tab/>
        <w:t>1 i 0 A 1  ./examples/output/experience_jumelle/HV_PFT1/param/dpu_init_HV.dat</w:t>
        <w:tab/>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hum_c_12</w:t>
        <w:tab/>
        <w:t>1 i 0 A 1  ./examples/output/experience_jumelle/HV_PFT1/param/hum_init_HV.dat</w:t>
        <w:tab/>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E_tempsol</w:t>
        <w:tab/>
        <w:t>1 i  0 A  3  ./examples/output/experience_jumelle/HV_PFT1/fluxes/E_tempsol_init_HV.dat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E_fluxsens</w:t>
        <w:tab/>
        <w:t>1 i  0 A  3  ./examples/output/experience_jumelle/HV_PFT1/fluxes/E_fluxsens_init_HV.dat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E_fluxlat</w:t>
        <w:tab/>
        <w:t>1 i  0 A  3  ./examples/output/experience_jumelle/HV_PFT1/fluxes/E_fluxlat_init_HV.dat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H_soil_humrel1</w:t>
        <w:tab/>
        <w:t>1 i  0 A  3  ./examples/output/experience_jumelle/HV_PFT1/fluxes/E_humrel_init_HV.dat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T_coef_diff</w:t>
        <w:tab/>
        <w:t>2 i  0 A  3  ./examples/output/experience_jumelle/HV_PFT1/fluxes/T_soilflx_init_HV.dat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E_netrad</w:t>
        <w:tab/>
        <w:t>1 i  0 A  3  ./examples/output/experience_jumelle/HV_PFT1/fluxes/E_netrad_init_HV.dat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H_soil_mean</w:t>
        <w:tab/>
        <w:t>1 ij 0 A  3  ./examples/output/experience_jumelle/HV_PFT1/fluxes/H_bqsb_init_HV.dat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H_soil_mean</w:t>
        <w:tab/>
        <w:t>2 ij 0 A  3  ./examples/output/experience_jumelle/HV_PFT1/fluxes/H_gqsb_init_HV.dat</w:t>
      </w:r>
    </w:p>
    <w:p>
      <w:pPr>
        <w:pStyle w:val="style0"/>
      </w:pPr>
      <w:r>
        <w:rPr/>
      </w:r>
    </w:p>
    <w:p>
      <w:pPr>
        <w:pStyle w:val="style0"/>
        <w:jc w:val="center"/>
      </w:pPr>
      <w:r>
        <w:rPr/>
        <w:t>Figure 5. Minimization phase</w:t>
      </w:r>
    </w:p>
    <w:p>
      <w:pPr>
        <w:pStyle w:val="style0"/>
        <w:jc w:val="center"/>
      </w:pPr>
      <w:r>
        <w:rPr/>
      </w:r>
    </w:p>
    <w:p>
      <w:pPr>
        <w:pStyle w:val="style33"/>
        <w:numPr>
          <w:ilvl w:val="0"/>
          <w:numId w:val="3"/>
        </w:numPr>
      </w:pPr>
      <w:r>
        <w:rPr/>
        <w:t>Ir order to launch the twin experiment, we start by adding a random noise to the control parameters, the idea at the of the assimilation process is to retrieve their initial value (1 for all parameters)</w:t>
      </w:r>
    </w:p>
    <w:p>
      <w:pPr>
        <w:pStyle w:val="style33"/>
        <w:numPr>
          <w:ilvl w:val="0"/>
          <w:numId w:val="3"/>
        </w:numPr>
      </w:pPr>
      <w:r>
        <w:rPr/>
        <w:t>Before the assimilation, a forward is run with the perturbed paraemreters value in order to save at the the first guess</w:t>
      </w:r>
    </w:p>
    <w:p>
      <w:pPr>
        <w:pStyle w:val="style0"/>
      </w:pPr>
      <w:r>
        <w:rPr/>
      </w:r>
    </w:p>
    <w:p>
      <w:pPr>
        <w:pStyle w:val="style0"/>
      </w:pPr>
      <w:r>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Minimization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print_cost ON</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setm_impres </w:t>
        <w:tab/>
        <w:t>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setm_io </w:t>
        <w:tab/>
        <w:t>6</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setm_mode </w:t>
        <w:tab/>
        <w:t>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set_nbiter    100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setm_nsim     200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setm_dxmin    2.0e-30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setm_epsg     2.0e-20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setm_ddf1     1.0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#set_qs_parts 4</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runm</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After optimization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set_modeltime 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FORWARD</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set_modeltime 0</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4) Savings parameters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Saving Parameters after assimilation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z0_c 1 i 0 A 1  ./examples/output/experience_jumelle/HV_PFT1/param/z0_fin_HV.dat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so_cond_c 1 i 0 A 1 ./examples/output/experience_jumelle/HV_PFT1/param/so_cond_fin_HV.dat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so_capa_c 1 i 0 A 1 ./examples/output/experience_jumelle/HV_PFT1/param/so_capa_fin_HV.dat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emis_c 1 i 0 A 1 ./examples/output/experience_jumelle/HV_PFT1/param/emis_fin_HV.dat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albvis_c 1 i 0 A 1 ./examples/output/experience_jumelle/HV_PFT1/param/albvis_fin_HV.dat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savestate rsol_c </w:t>
        <w:tab/>
        <w:t>1 i 0 A 1  ./examples/output/experience_jumelle/HV_PFT1/param/rsol_c_fin_HV.dat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savestate so_capa_c </w:t>
        <w:tab/>
        <w:t>1 i 0 A 1  ./examples/output/experience_jumelle/HV_PFT1/param/so_capa_fin_HV.dat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savestate so_cond_c </w:t>
        <w:tab/>
        <w:t>1 i 0 A 1  ./examples/output/experience_jumelle/HV_PFT1/param/so_cond_fin_HV.dat</w:t>
        <w:tab/>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xml:space="preserve">savestate mx_eau_c </w:t>
        <w:tab/>
        <w:t>1 i 0 A 1  ./examples/output/experience_jumelle/HV_PFT1/param/mx_eau_fin_HV.dat</w:t>
        <w:tab/>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dpu_c</w:t>
        <w:tab/>
        <w:tab/>
        <w:t>1 i 0 A 1  ./examples/output/experience_jumelle/HV_PFT1/param/dpu_fin_HV.dat</w:t>
        <w:tab/>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hum_c_12</w:t>
        <w:tab/>
        <w:t>1 i 0 A 1  ./examples/output/experience_jumelle/HV_PFT1/param/hum_fin_HV.dat</w:t>
        <w:tab/>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Saving Model state after assimilation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E_tempsol</w:t>
        <w:tab/>
        <w:t>1 i  0 A  3  ./examples/output/experience_jumelle/HV_PFT1/fluxes/E_tempsol_fin_HV.dat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E_fluxsens</w:t>
        <w:tab/>
        <w:t>1 i  0 A  3  ./examples/output/experience_jumelle/HV_PFT1/fluxes/E_fluxsens_fin_HV.dat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E_fluxlat</w:t>
        <w:tab/>
        <w:t>1 i  0 A  3  ./examples/output/experience_jumelle/HV_PFT1/fluxes/E_fluxlat_fin_HV.dat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H_soil_humrel1</w:t>
        <w:tab/>
        <w:t>1 i  0 A  3  ./examples/output/experience_jumelle/HV_PFT1/fluxes/E_humrel_fin_HV.dat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T_coef_diff</w:t>
        <w:tab/>
        <w:t>2 i  0 A  3  ./examples/output/experience_jumelle/HV_PFT1/fluxes/T_soilflx_fin_HV.dat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E_netrad</w:t>
        <w:tab/>
        <w:t>1 i  0 A  3  ./examples/output/experience_jumelle/HV_PFT1/fluxes/E_netrad_fin_HV.dat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H_soil_mean</w:t>
        <w:tab/>
        <w:t>1 ij 0 A  3  ./examples/output/experience_jumelle/HV_PFT1/fluxes/H_bqsb_fin_HV.dat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savestate H_soil_mean</w:t>
        <w:tab/>
        <w:t>2 ij 0 A  3  ./examples/output/experience_jumelle/HV_PFT1/fluxes/H_gqsb_fin_HV.dat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 Plotting all outputs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####some model variables</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!gnuplot ./examples/output/experience_jumelle/HV_PFT1/plot_variables_HV_PFT1.gp</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####control paremeter variation</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sz w:val="16"/>
          <w:szCs w:val="16"/>
          <w:lang w:val="en-US"/>
        </w:rPr>
        <w:t>!gnuplot ./examples/output/experience_jumelle/HV_PFT1/plot_parameters_HV_PFT1.gp</w:t>
      </w:r>
    </w:p>
    <w:p>
      <w:pPr>
        <w:pStyle w:val="style0"/>
        <w:jc w:val="center"/>
      </w:pPr>
      <w:r>
        <w:rPr/>
        <w:t>Figure 6. Assimilation procedure</w:t>
      </w:r>
    </w:p>
    <w:p>
      <w:pPr>
        <w:pStyle w:val="style0"/>
      </w:pPr>
      <w:r>
        <w:rPr/>
      </w:r>
    </w:p>
    <w:p>
      <w:pPr>
        <w:pStyle w:val="style33"/>
      </w:pPr>
      <w:r>
        <w:rPr/>
        <w:t>The maximization process is then run with the command “</w:t>
      </w:r>
      <w:r>
        <w:rPr>
          <w:i/>
          <w:iCs/>
        </w:rPr>
        <w:t>runm</w:t>
      </w:r>
      <w:r>
        <w:rPr/>
        <w:t xml:space="preserve">”. The options before this command are specific options for the minimizer used (M1QN3). For more information consult Gilbert et al (2009). </w:t>
      </w:r>
    </w:p>
    <w:p>
      <w:pPr>
        <w:pStyle w:val="style33"/>
      </w:pPr>
      <w:r>
        <w:rPr/>
        <w:t xml:space="preserve">Once the minimization process is finish, we retrieve the control parameter values that generated the synthetic observations. A final FORWARD is run in order to retrieve the final model state. All variables and parameters are store (with the command </w:t>
      </w:r>
      <w:r>
        <w:rPr>
          <w:i/>
          <w:iCs/>
        </w:rPr>
        <w:t>savestate</w:t>
      </w:r>
      <w:r>
        <w:rPr/>
        <w:t xml:space="preserve">) and two plots are shown at the end, using </w:t>
      </w:r>
      <w:r>
        <w:rPr>
          <w:i/>
          <w:iCs/>
        </w:rPr>
        <w:t>gnuplot</w:t>
      </w:r>
      <w:r>
        <w:rPr/>
        <w:t xml:space="preserve">. </w:t>
      </w:r>
    </w:p>
    <w:p>
      <w:pPr>
        <w:pStyle w:val="style33"/>
        <w:jc w:val="center"/>
      </w:pPr>
      <w:r>
        <w:rPr/>
        <w:t xml:space="preserve">Figure 7. Parameters value prior and after assimilation for experiment 1. </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760720" cy="399605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760720" cy="3996055"/>
                    </a:xfrm>
                    <a:prstGeom prst="rect">
                      <a:avLst/>
                    </a:prstGeom>
                    <a:noFill/>
                    <a:ln w="9525">
                      <a:noFill/>
                      <a:miter lim="800000"/>
                      <a:headEnd/>
                      <a:tailEnd/>
                    </a:ln>
                  </pic:spPr>
                </pic:pic>
              </a:graphicData>
            </a:graphic>
          </wp:anchor>
        </w:drawing>
      </w:r>
    </w:p>
    <w:p>
      <w:pPr>
        <w:pStyle w:val="style33"/>
      </w:pPr>
      <w:r>
        <w:rPr/>
      </w:r>
    </w:p>
    <w:p>
      <w:pPr>
        <w:pStyle w:val="style33"/>
      </w:pPr>
      <w:r>
        <w:rPr/>
        <w:t xml:space="preserve">Figure 7 shows the evolution of the control parameters: its optimal values, the perturbed values and the final value after assimilation. It can be observed that the initial parameter value (red bars) and the final value after assimilation (blue bars) are identical, showing that the initial control parameter values, before perturbation, were retrieved successfully. </w:t>
      </w:r>
    </w:p>
    <w:p>
      <w:pPr>
        <w:pStyle w:val="style0"/>
      </w:pPr>
      <w:r>
        <w:rPr/>
      </w:r>
    </w:p>
    <w:p>
      <w:pPr>
        <w:pStyle w:val="style0"/>
        <w:jc w:val="center"/>
      </w:pPr>
      <w:r>
        <w:rPr/>
        <w:drawing>
          <wp:anchor allowOverlap="1" behindDoc="0" distB="0" distL="0" distR="0" distT="0" layoutInCell="1" locked="0" relativeHeight="1" simplePos="0">
            <wp:simplePos x="0" y="0"/>
            <wp:positionH relativeFrom="character">
              <wp:posOffset>111760</wp:posOffset>
            </wp:positionH>
            <wp:positionV relativeFrom="line">
              <wp:posOffset>45085</wp:posOffset>
            </wp:positionV>
            <wp:extent cx="5734685" cy="371538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734685" cy="3715385"/>
                    </a:xfrm>
                    <a:prstGeom prst="rect">
                      <a:avLst/>
                    </a:prstGeom>
                    <a:noFill/>
                    <a:ln w="9525">
                      <a:noFill/>
                      <a:miter lim="800000"/>
                      <a:headEnd/>
                      <a:tailEnd/>
                    </a:ln>
                  </pic:spPr>
                </pic:pic>
              </a:graphicData>
            </a:graphic>
          </wp:anchor>
        </w:drawing>
      </w:r>
    </w:p>
    <w:p>
      <w:pPr>
        <w:pStyle w:val="style0"/>
      </w:pPr>
      <w:r>
        <w:rPr/>
      </w:r>
    </w:p>
    <w:p>
      <w:pPr>
        <w:pStyle w:val="style33"/>
      </w:pPr>
      <w:r>
        <w:rPr/>
        <w:t>Figure 8. Variable variation prior and after assimilation for experiment 1</w:t>
      </w:r>
    </w:p>
    <w:p>
      <w:pPr>
        <w:pStyle w:val="style33"/>
      </w:pPr>
      <w:r>
        <w:rPr/>
        <w:t xml:space="preserve">The evolution of some model state variables prior and after assimilation are shown in Figure 8. The Red dots in figure 8 corresponds to the available observations each time step. The green curve represents the first guess: the variable values estimated with the perturbed parameters. Finally the blue curves are the estimated variables using the parameters final values afeter the assimilation process. As it can be observed, blue and red curve are perfect match, showing that the initial parameter values that generated the observations were retrieved with the assimilation.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
      </w:pPr>
      <w:r>
        <w:rPr/>
        <w:t>References</w:t>
      </w:r>
    </w:p>
    <w:p>
      <w:pPr>
        <w:pStyle w:val="style33"/>
      </w:pPr>
      <w:r>
        <w:rPr/>
      </w:r>
    </w:p>
    <w:p>
      <w:pPr>
        <w:pStyle w:val="style33"/>
      </w:pPr>
      <w:r>
        <w:rPr>
          <w:lang w:val="fr-FR"/>
        </w:rPr>
        <w:t>Benavides, H. Assimilation variationnelle des donnees dans le modèle de surface continentale SECHIBA grâce au logiciel YAO. These de doctorat de l’Université Paris 6. 2014.</w:t>
      </w:r>
    </w:p>
    <w:p>
      <w:pPr>
        <w:pStyle w:val="style33"/>
      </w:pPr>
      <w:r>
        <w:rPr>
          <w:lang w:val="fr-FR"/>
        </w:rPr>
        <w:t>d’Orgeval, T., Polcher, J., and Li, L. Uncertainties in modelling future hydrological change over west africa. Climate Dynamics, 26, 93–108. 2006.</w:t>
      </w:r>
    </w:p>
    <w:p>
      <w:pPr>
        <w:pStyle w:val="style33"/>
      </w:pPr>
      <w:r>
        <w:rPr/>
        <w:t>Gilbert, J; Lemarechal, C (2009). The module M1QN3. Available online: https://who.rocq.inria.fr/Jean-Charles.Gilbert/preprint/u01-m1qn3.pdf</w:t>
      </w:r>
    </w:p>
    <w:p>
      <w:pPr>
        <w:pStyle w:val="style29"/>
      </w:pPr>
      <w:r>
        <w:rPr/>
      </w:r>
    </w:p>
    <w:p>
      <w:pPr>
        <w:pStyle w:val="style0"/>
      </w:pPr>
      <w:r>
        <w:rPr/>
      </w:r>
    </w:p>
    <w:sectPr>
      <w:type w:val="nextPage"/>
      <w:pgSz w:h="16838" w:w="11906"/>
      <w:pgMar w:bottom="1417" w:footer="0" w:gutter="0" w:header="0" w:left="1417" w:right="1417" w:top="1417"/>
      <w:pgNumType w:fmt="decimal"/>
      <w:formProt w:val="false"/>
      <w:textDirection w:val="lrTb"/>
      <w:docGrid w:charSpace="-635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OpenSymbol">
    <w:altName w:val="Arial Unicode MS"/>
    <w:charset w:val="80"/>
    <w:family w:val="auto"/>
    <w:pitch w:val="default"/>
  </w:font>
  <w:font w:name="Liberation Sans">
    <w:altName w:val="Arial"/>
    <w:charset w:val="00"/>
    <w:family w:val="swiss"/>
    <w:pitch w:val="variable"/>
  </w:font>
  <w:font w:name="Symbol">
    <w:charset w:val="02"/>
    <w:family w:val="auto"/>
    <w:pitch w:val="default"/>
  </w:font>
  <w:font w:name="Courier New">
    <w:charset w:val="80"/>
    <w:family w:val="modern"/>
    <w:pitch w:val="fixed"/>
  </w:font>
  <w:font w:name="Wingdings">
    <w:charset w:val="02"/>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1230"/>
      </w:pPr>
      <w:rPr>
        <w:rFonts w:ascii="Symbol" w:cs="Symbol" w:hAnsi="Symbol" w:hint="default"/>
      </w:rPr>
    </w:lvl>
    <w:lvl w:ilvl="1">
      <w:start w:val="1"/>
      <w:numFmt w:val="bullet"/>
      <w:lvlText w:val="o"/>
      <w:lvlJc w:val="left"/>
      <w:pPr>
        <w:ind w:hanging="360" w:left="1950"/>
      </w:pPr>
      <w:rPr>
        <w:rFonts w:ascii="Courier New" w:cs="Courier New" w:hAnsi="Courier New" w:hint="default"/>
      </w:rPr>
    </w:lvl>
    <w:lvl w:ilvl="2">
      <w:start w:val="1"/>
      <w:numFmt w:val="bullet"/>
      <w:lvlText w:val=""/>
      <w:lvlJc w:val="left"/>
      <w:pPr>
        <w:ind w:hanging="360" w:left="2670"/>
      </w:pPr>
      <w:rPr>
        <w:rFonts w:ascii="Wingdings" w:cs="Wingdings" w:hAnsi="Wingdings" w:hint="default"/>
      </w:rPr>
    </w:lvl>
    <w:lvl w:ilvl="3">
      <w:start w:val="1"/>
      <w:numFmt w:val="bullet"/>
      <w:lvlText w:val=""/>
      <w:lvlJc w:val="left"/>
      <w:pPr>
        <w:ind w:hanging="360" w:left="3390"/>
      </w:pPr>
      <w:rPr>
        <w:rFonts w:ascii="Symbol" w:cs="Symbol" w:hAnsi="Symbol" w:hint="default"/>
      </w:rPr>
    </w:lvl>
    <w:lvl w:ilvl="4">
      <w:start w:val="1"/>
      <w:numFmt w:val="bullet"/>
      <w:lvlText w:val="o"/>
      <w:lvlJc w:val="left"/>
      <w:pPr>
        <w:ind w:hanging="360" w:left="4110"/>
      </w:pPr>
      <w:rPr>
        <w:rFonts w:ascii="Courier New" w:cs="Courier New" w:hAnsi="Courier New" w:hint="default"/>
      </w:rPr>
    </w:lvl>
    <w:lvl w:ilvl="5">
      <w:start w:val="1"/>
      <w:numFmt w:val="bullet"/>
      <w:lvlText w:val=""/>
      <w:lvlJc w:val="left"/>
      <w:pPr>
        <w:ind w:hanging="360" w:left="4830"/>
      </w:pPr>
      <w:rPr>
        <w:rFonts w:ascii="Wingdings" w:cs="Wingdings" w:hAnsi="Wingdings" w:hint="default"/>
      </w:rPr>
    </w:lvl>
    <w:lvl w:ilvl="6">
      <w:start w:val="1"/>
      <w:numFmt w:val="bullet"/>
      <w:lvlText w:val=""/>
      <w:lvlJc w:val="left"/>
      <w:pPr>
        <w:ind w:hanging="360" w:left="5550"/>
      </w:pPr>
      <w:rPr>
        <w:rFonts w:ascii="Symbol" w:cs="Symbol" w:hAnsi="Symbol" w:hint="default"/>
      </w:rPr>
    </w:lvl>
    <w:lvl w:ilvl="7">
      <w:start w:val="1"/>
      <w:numFmt w:val="bullet"/>
      <w:lvlText w:val="o"/>
      <w:lvlJc w:val="left"/>
      <w:pPr>
        <w:ind w:hanging="360" w:left="6270"/>
      </w:pPr>
      <w:rPr>
        <w:rFonts w:ascii="Courier New" w:cs="Courier New" w:hAnsi="Courier New" w:hint="default"/>
      </w:rPr>
    </w:lvl>
    <w:lvl w:ilvl="8">
      <w:start w:val="1"/>
      <w:numFmt w:val="bullet"/>
      <w:lvlText w:val=""/>
      <w:lvlJc w:val="left"/>
      <w:pPr>
        <w:ind w:hanging="360" w:left="6990"/>
      </w:pPr>
      <w:rPr>
        <w:rFonts w:ascii="Wingdings" w:cs="Wingdings" w:hAnsi="Wingdings" w:hint="default"/>
      </w:rPr>
    </w:lvl>
  </w:abstractNum>
  <w:abstractNum w:abstractNumId="2">
    <w:lvl w:ilvl="0">
      <w:start w:val="1"/>
      <w:numFmt w:val="bullet"/>
      <w:lvlText w:val=""/>
      <w:lvlJc w:val="left"/>
      <w:pPr>
        <w:ind w:hanging="360" w:left="1230"/>
      </w:pPr>
      <w:rPr>
        <w:rFonts w:ascii="Symbol" w:cs="Symbol" w:hAnsi="Symbol" w:hint="default"/>
      </w:rPr>
    </w:lvl>
    <w:lvl w:ilvl="1">
      <w:start w:val="1"/>
      <w:numFmt w:val="bullet"/>
      <w:lvlText w:val="o"/>
      <w:lvlJc w:val="left"/>
      <w:pPr>
        <w:ind w:hanging="360" w:left="1950"/>
      </w:pPr>
      <w:rPr>
        <w:rFonts w:ascii="Courier New" w:cs="Courier New" w:hAnsi="Courier New" w:hint="default"/>
      </w:rPr>
    </w:lvl>
    <w:lvl w:ilvl="2">
      <w:start w:val="1"/>
      <w:numFmt w:val="bullet"/>
      <w:lvlText w:val=""/>
      <w:lvlJc w:val="left"/>
      <w:pPr>
        <w:ind w:hanging="360" w:left="2670"/>
      </w:pPr>
      <w:rPr>
        <w:rFonts w:ascii="Wingdings" w:cs="Wingdings" w:hAnsi="Wingdings" w:hint="default"/>
      </w:rPr>
    </w:lvl>
    <w:lvl w:ilvl="3">
      <w:start w:val="1"/>
      <w:numFmt w:val="bullet"/>
      <w:lvlText w:val=""/>
      <w:lvlJc w:val="left"/>
      <w:pPr>
        <w:ind w:hanging="360" w:left="3390"/>
      </w:pPr>
      <w:rPr>
        <w:rFonts w:ascii="Symbol" w:cs="Symbol" w:hAnsi="Symbol" w:hint="default"/>
      </w:rPr>
    </w:lvl>
    <w:lvl w:ilvl="4">
      <w:start w:val="1"/>
      <w:numFmt w:val="bullet"/>
      <w:lvlText w:val="o"/>
      <w:lvlJc w:val="left"/>
      <w:pPr>
        <w:ind w:hanging="360" w:left="4110"/>
      </w:pPr>
      <w:rPr>
        <w:rFonts w:ascii="Courier New" w:cs="Courier New" w:hAnsi="Courier New" w:hint="default"/>
      </w:rPr>
    </w:lvl>
    <w:lvl w:ilvl="5">
      <w:start w:val="1"/>
      <w:numFmt w:val="bullet"/>
      <w:lvlText w:val=""/>
      <w:lvlJc w:val="left"/>
      <w:pPr>
        <w:ind w:hanging="360" w:left="4830"/>
      </w:pPr>
      <w:rPr>
        <w:rFonts w:ascii="Wingdings" w:cs="Wingdings" w:hAnsi="Wingdings" w:hint="default"/>
      </w:rPr>
    </w:lvl>
    <w:lvl w:ilvl="6">
      <w:start w:val="1"/>
      <w:numFmt w:val="bullet"/>
      <w:lvlText w:val=""/>
      <w:lvlJc w:val="left"/>
      <w:pPr>
        <w:ind w:hanging="360" w:left="5550"/>
      </w:pPr>
      <w:rPr>
        <w:rFonts w:ascii="Symbol" w:cs="Symbol" w:hAnsi="Symbol" w:hint="default"/>
      </w:rPr>
    </w:lvl>
    <w:lvl w:ilvl="7">
      <w:start w:val="1"/>
      <w:numFmt w:val="bullet"/>
      <w:lvlText w:val="o"/>
      <w:lvlJc w:val="left"/>
      <w:pPr>
        <w:ind w:hanging="360" w:left="6270"/>
      </w:pPr>
      <w:rPr>
        <w:rFonts w:ascii="Courier New" w:cs="Courier New" w:hAnsi="Courier New" w:hint="default"/>
      </w:rPr>
    </w:lvl>
    <w:lvl w:ilvl="8">
      <w:start w:val="1"/>
      <w:numFmt w:val="bullet"/>
      <w:lvlText w:val=""/>
      <w:lvlJc w:val="left"/>
      <w:pPr>
        <w:ind w:hanging="360" w:left="699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val="false"/>
      <w:suppressAutoHyphens w:val="true"/>
      <w:spacing w:after="0" w:before="0"/>
      <w:contextualSpacing w:val="false"/>
      <w:jc w:val="left"/>
    </w:pPr>
    <w:rPr>
      <w:rFonts w:ascii="Liberation Serif" w:cs="DejaVu Sans" w:eastAsia="DejaVu Sans" w:hAnsi="Liberation Serif"/>
      <w:color w:val="00000A"/>
      <w:sz w:val="24"/>
      <w:szCs w:val="24"/>
      <w:lang w:bidi="hi-IN" w:eastAsia="hi-IN" w:val="en-US"/>
    </w:rPr>
  </w:style>
  <w:style w:styleId="style1" w:type="paragraph">
    <w:name w:val="Heading 1"/>
    <w:basedOn w:val="style0"/>
    <w:next w:val="style1"/>
    <w:pPr>
      <w:keepNext/>
      <w:spacing w:after="360" w:before="240" w:line="360" w:lineRule="auto"/>
      <w:contextualSpacing w:val="false"/>
      <w:jc w:val="center"/>
    </w:pPr>
    <w:rPr>
      <w:rFonts w:ascii="Arial" w:hAnsi="Arial"/>
      <w:b/>
      <w:bCs/>
      <w:sz w:val="28"/>
      <w:szCs w:val="32"/>
      <w:lang w:bidi="ar-SA" w:eastAsia="en-US"/>
    </w:rPr>
  </w:style>
  <w:style w:styleId="style2" w:type="paragraph">
    <w:name w:val="Heading 2"/>
    <w:basedOn w:val="style0"/>
    <w:next w:val="style2"/>
    <w:pPr>
      <w:keepNext/>
      <w:spacing w:after="120" w:before="240" w:line="360" w:lineRule="auto"/>
      <w:contextualSpacing w:val="false"/>
    </w:pPr>
    <w:rPr>
      <w:rFonts w:ascii="Arial" w:hAnsi="Arial"/>
      <w:b/>
      <w:bCs/>
      <w:iCs/>
      <w:sz w:val="28"/>
      <w:szCs w:val="28"/>
    </w:rPr>
  </w:style>
  <w:style w:styleId="style3" w:type="paragraph">
    <w:name w:val="Heading 3"/>
    <w:basedOn w:val="style28"/>
    <w:next w:val="style3"/>
    <w:pPr/>
    <w:rPr/>
  </w:style>
  <w:style w:styleId="style15" w:type="character">
    <w:name w:val="Default Paragraph Font"/>
    <w:next w:val="style15"/>
    <w:rPr/>
  </w:style>
  <w:style w:styleId="style16" w:type="character">
    <w:name w:val="Heading 1 Char"/>
    <w:basedOn w:val="style15"/>
    <w:next w:val="style16"/>
    <w:rPr>
      <w:rFonts w:ascii="Arial" w:cs="DejaVu Sans" w:eastAsia="DejaVu Sans" w:hAnsi="Arial"/>
      <w:b/>
      <w:bCs/>
      <w:sz w:val="28"/>
      <w:szCs w:val="32"/>
    </w:rPr>
  </w:style>
  <w:style w:styleId="style17" w:type="character">
    <w:name w:val="Heading 2 Char"/>
    <w:basedOn w:val="style15"/>
    <w:next w:val="style17"/>
    <w:rPr>
      <w:rFonts w:ascii="Arial" w:cs="DejaVu Sans" w:eastAsia="DejaVu Sans" w:hAnsi="Arial"/>
      <w:b/>
      <w:bCs/>
      <w:iCs/>
      <w:sz w:val="28"/>
      <w:szCs w:val="28"/>
      <w:lang w:bidi="hi-IN" w:eastAsia="hi-IN"/>
    </w:rPr>
  </w:style>
  <w:style w:styleId="style18" w:type="character">
    <w:name w:val="ListLabel 1"/>
    <w:next w:val="style18"/>
    <w:rPr>
      <w:rFonts w:cs="Courier New"/>
    </w:rPr>
  </w:style>
  <w:style w:styleId="style19" w:type="character">
    <w:name w:val="Bullets"/>
    <w:next w:val="style19"/>
    <w:rPr>
      <w:rFonts w:ascii="OpenSymbol" w:cs="OpenSymbol" w:eastAsia="OpenSymbol" w:hAnsi="OpenSymbol"/>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character">
    <w:name w:val="ListLabel 5"/>
    <w:next w:val="style23"/>
    <w:rPr>
      <w:rFonts w:cs="OpenSymbol"/>
    </w:rPr>
  </w:style>
  <w:style w:styleId="style24" w:type="character">
    <w:name w:val="ListLabel 6"/>
    <w:next w:val="style24"/>
    <w:rPr>
      <w:rFonts w:cs="Symbol"/>
    </w:rPr>
  </w:style>
  <w:style w:styleId="style25" w:type="character">
    <w:name w:val="ListLabel 7"/>
    <w:next w:val="style25"/>
    <w:rPr>
      <w:rFonts w:cs="Courier New"/>
    </w:rPr>
  </w:style>
  <w:style w:styleId="style26" w:type="character">
    <w:name w:val="ListLabel 8"/>
    <w:next w:val="style26"/>
    <w:rPr>
      <w:rFonts w:cs="Wingdings"/>
    </w:rPr>
  </w:style>
  <w:style w:styleId="style27" w:type="character">
    <w:name w:val="ListLabel 9"/>
    <w:next w:val="style27"/>
    <w:rPr>
      <w:rFonts w:cs="OpenSymbol"/>
    </w:rPr>
  </w:style>
  <w:style w:styleId="style28" w:type="paragraph">
    <w:name w:val="Heading"/>
    <w:basedOn w:val="style0"/>
    <w:next w:val="style29"/>
    <w:pPr>
      <w:keepNext/>
      <w:spacing w:after="120" w:before="240"/>
      <w:contextualSpacing w:val="false"/>
    </w:pPr>
    <w:rPr>
      <w:rFonts w:ascii="Liberation Sans" w:cs="Lohit Devanagari" w:eastAsia="AR PL UMing HK" w:hAnsi="Liberation Sans"/>
      <w:sz w:val="28"/>
      <w:szCs w:val="28"/>
    </w:rPr>
  </w:style>
  <w:style w:styleId="style29" w:type="paragraph">
    <w:name w:val="Text Body"/>
    <w:basedOn w:val="style0"/>
    <w:next w:val="style29"/>
    <w:pPr>
      <w:spacing w:after="140" w:before="0" w:line="288" w:lineRule="auto"/>
      <w:contextualSpacing w:val="false"/>
    </w:pPr>
    <w:rPr/>
  </w:style>
  <w:style w:styleId="style30" w:type="paragraph">
    <w:name w:val="List"/>
    <w:basedOn w:val="style29"/>
    <w:next w:val="style30"/>
    <w:pPr/>
    <w:rPr>
      <w:rFonts w:cs="Lohit Devanagari"/>
    </w:rPr>
  </w:style>
  <w:style w:styleId="style31" w:type="paragraph">
    <w:name w:val="Caption"/>
    <w:basedOn w:val="style0"/>
    <w:next w:val="style31"/>
    <w:pPr>
      <w:suppressLineNumbers/>
      <w:spacing w:after="120" w:before="120"/>
      <w:contextualSpacing w:val="false"/>
    </w:pPr>
    <w:rPr>
      <w:rFonts w:cs="Lohit Devanagari"/>
      <w:i/>
      <w:iCs/>
      <w:sz w:val="24"/>
      <w:szCs w:val="24"/>
    </w:rPr>
  </w:style>
  <w:style w:styleId="style32" w:type="paragraph">
    <w:name w:val="Index"/>
    <w:basedOn w:val="style0"/>
    <w:next w:val="style32"/>
    <w:pPr>
      <w:suppressLineNumbers/>
    </w:pPr>
    <w:rPr>
      <w:rFonts w:cs="Lohit Devanagari"/>
    </w:rPr>
  </w:style>
  <w:style w:styleId="style33" w:type="paragraph">
    <w:name w:val="Texto"/>
    <w:basedOn w:val="style0"/>
    <w:next w:val="style33"/>
    <w:pPr>
      <w:spacing w:after="120" w:before="120" w:line="360" w:lineRule="auto"/>
      <w:ind w:firstLine="510" w:left="0" w:right="0"/>
      <w:contextualSpacing w:val="false"/>
      <w:jc w:val="both"/>
    </w:pPr>
    <w:rPr>
      <w:rFonts w:ascii="Times New Roman" w:cs="Times New Roman" w:eastAsia="Cambria" w:hAnsi="Times New Roman"/>
    </w:rPr>
  </w:style>
  <w:style w:styleId="style34" w:type="paragraph">
    <w:name w:val="Portada"/>
    <w:basedOn w:val="style0"/>
    <w:next w:val="style34"/>
    <w:pPr>
      <w:jc w:val="both"/>
    </w:pPr>
    <w:rPr>
      <w:rFonts w:ascii="Arial" w:hAnsi="Arial"/>
    </w:rPr>
  </w:style>
  <w:style w:styleId="style35" w:type="paragraph">
    <w:name w:val="Bibliografia"/>
    <w:basedOn w:val="style33"/>
    <w:next w:val="style35"/>
    <w:pPr>
      <w:widowControl/>
      <w:suppressAutoHyphens w:val="false"/>
      <w:ind w:hanging="680" w:left="680" w:right="0"/>
    </w:pPr>
    <w:rPr>
      <w:lang w:bidi="ar-SA" w:eastAsia="en-US"/>
    </w:rPr>
  </w:style>
  <w:style w:styleId="style36" w:type="paragraph">
    <w:name w:val="table of figures"/>
    <w:basedOn w:val="style0"/>
    <w:next w:val="style36"/>
    <w:pPr>
      <w:widowControl/>
      <w:suppressAutoHyphens w:val="false"/>
      <w:spacing w:after="120" w:before="0" w:line="360" w:lineRule="auto"/>
      <w:ind w:firstLine="510" w:left="0" w:right="0"/>
      <w:contextualSpacing w:val="false"/>
      <w:jc w:val="both"/>
    </w:pPr>
    <w:rPr>
      <w:rFonts w:ascii="Times New Roman" w:cs="Cambria" w:hAnsi="Times New Roman"/>
      <w:sz w:val="22"/>
      <w:szCs w:val="22"/>
      <w:lang w:bidi="ar-SA" w:eastAsia="en-US"/>
    </w:rPr>
  </w:style>
  <w:style w:styleId="style37" w:type="paragraph">
    <w:name w:val="List Paragraph"/>
    <w:basedOn w:val="style0"/>
    <w:next w:val="style37"/>
    <w:pPr>
      <w:spacing w:after="0" w:before="0"/>
      <w:ind w:hanging="0" w:left="720" w:right="0"/>
      <w:contextualSpacing/>
    </w:pPr>
    <w:rPr>
      <w:rFonts w:cs="Mangal"/>
      <w:sz w:val="21"/>
      <w:szCs w:val="21"/>
    </w:rPr>
  </w:style>
  <w:style w:styleId="style38" w:type="paragraph">
    <w:name w:val="Quotations"/>
    <w:basedOn w:val="style0"/>
    <w:next w:val="style38"/>
    <w:pPr/>
    <w:rPr/>
  </w:style>
  <w:style w:styleId="style39" w:type="paragraph">
    <w:name w:val="Title"/>
    <w:basedOn w:val="style28"/>
    <w:next w:val="style39"/>
    <w:pPr/>
    <w:rPr/>
  </w:style>
  <w:style w:styleId="style40" w:type="paragraph">
    <w:name w:val="Subtitle"/>
    <w:basedOn w:val="style28"/>
    <w:next w:val="style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2014-09-29T17:00:00.00Z</dcterms:created>
  <dc:creator>hbplod</dc:creator>
  <dc:language>en</dc:language>
  <cp:lastModifiedBy>hbplod</cp:lastModifiedBy>
  <dcterms:modified xsi:type="dcterms:W3CDTF">2014-09-29T17:30:00.00Z</dcterms:modified>
  <cp:revision>2</cp:revision>
</cp:coreProperties>
</file>