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ptos" w:hAnsi="Aptos" w:eastAsia="Aptos" w:cs="Aptos"/>
          <w:b/>
          <w:color w:val="000000"/>
          <w:sz w:val="35"/>
        </w:rPr>
        <w:t>NIAT Growth Audit</w:t>
      </w:r>
    </w:p>
    <w:p>
      <w:pPr>
        <w:spacing w:after="160"/>
      </w:pPr>
      <w:r>
        <w:rPr>
          <w:rFonts w:ascii="Aptos" w:hAnsi="Aptos" w:eastAsia="Aptos" w:cs="Aptos"/>
          <w:b w:val="0"/>
          <w:color w:val="5A6167"/>
          <w:sz w:val="16"/>
        </w:rPr>
        <w:t>Layer 1  |  Public-source review  |  15 October 2026</w:t>
      </w:r>
    </w:p>
    <w:p>
      <w:pPr>
        <w:pStyle w:val="Heading2"/>
        <w:keepNext/>
        <w:spacing w:before="200" w:after="60"/>
      </w:pPr>
      <w:r>
        <w:rPr>
          <w:rFonts w:ascii="Aptos" w:hAnsi="Aptos" w:eastAsia="Aptos" w:cs="Aptos"/>
          <w:b/>
          <w:color w:val="000000"/>
          <w:sz w:val="21"/>
        </w:rPr>
        <w:t>What NIAT actually is</w:t>
      </w:r>
    </w:p>
    <w:p>
      <w:pPr>
        <w:spacing w:after="68" w:line="257" w:lineRule="auto"/>
      </w:pPr>
      <w:r>
        <w:rPr>
          <w:rFonts w:ascii="Aptos" w:hAnsi="Aptos" w:eastAsia="Aptos" w:cs="Aptos"/>
          <w:b w:val="0"/>
          <w:color w:val="1E242B"/>
          <w:sz w:val="18"/>
        </w:rPr>
        <w:t>NIAT is NxtWave's four-year technology upskilling program delivered at collaborating institutions for students after Class 12. It teaches practical tech skills and issues its own certificate; the university separately decides admission and awards the B.Tech degree. NIAT enrolment runs through an application, a paid NAT assessment, one-to-one career counselling and a separate enrolment step. A NAT result is not university admission.</w:t>
      </w:r>
      <w:r>
        <w:t xml:space="preserve">  (</w:t>
      </w:r>
      <w:hyperlink r:id="rId9">
        <w:r>
          <w:rPr>
            <w:color w:val="185A78"/>
            <w:u w:val="single"/>
            <w:sz w:val="17"/>
          </w:rPr>
          <w:t>NIAT process</w:t>
        </w:r>
      </w:hyperlink>
      <w:r>
        <w:t xml:space="preserve"> · </w:t>
      </w:r>
      <w:hyperlink r:id="rId10">
        <w:r>
          <w:rPr>
            <w:color w:val="185A78"/>
            <w:u w:val="single"/>
            <w:sz w:val="17"/>
          </w:rPr>
          <w:t>official FAQ</w:t>
        </w:r>
      </w:hyperlink>
      <w:r>
        <w:t>)</w:t>
      </w:r>
    </w:p>
    <w:p>
      <w:pPr>
        <w:pStyle w:val="Heading2"/>
        <w:keepNext/>
        <w:spacing w:before="200" w:after="60"/>
      </w:pPr>
      <w:r>
        <w:rPr>
          <w:rFonts w:ascii="Aptos" w:hAnsi="Aptos" w:eastAsia="Aptos" w:cs="Aptos"/>
          <w:b/>
          <w:color w:val="000000"/>
          <w:sz w:val="21"/>
        </w:rPr>
        <w:t>Acquisition and conversion avenues already visible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Free AI build experiences | Acquisition.  </w:t>
      </w:r>
      <w:r>
        <w:rPr>
          <w:rFonts w:ascii="Aptos" w:hAnsi="Aptos" w:eastAsia="Aptos" w:cs="Aptos"/>
          <w:b w:val="0"/>
          <w:color w:val="1E242B"/>
          <w:sz w:val="18"/>
        </w:rPr>
        <w:t>The AI Bootcamp, weekly AI Challenge and Solvers League invite school leavers to build projects and register for follow-up.</w:t>
      </w:r>
      <w:r>
        <w:t xml:space="preserve">  (</w:t>
      </w:r>
      <w:hyperlink r:id="rId11">
        <w:r>
          <w:rPr>
            <w:color w:val="185A78"/>
            <w:u w:val="single"/>
            <w:sz w:val="17"/>
          </w:rPr>
          <w:t>Bootcamp</w:t>
        </w:r>
      </w:hyperlink>
      <w:r>
        <w:t xml:space="preserve"> · </w:t>
      </w:r>
      <w:hyperlink r:id="rId12">
        <w:r>
          <w:rPr>
            <w:color w:val="185A78"/>
            <w:u w:val="single"/>
            <w:sz w:val="17"/>
          </w:rPr>
          <w:t>Challenge</w:t>
        </w:r>
      </w:hyperlink>
      <w:r>
        <w:t xml:space="preserve"> · </w:t>
      </w:r>
      <w:hyperlink r:id="rId13">
        <w:r>
          <w:rPr>
            <w:color w:val="185A78"/>
            <w:u w:val="single"/>
            <w:sz w:val="17"/>
          </w:rPr>
          <w:t>Solvers League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Social proof | Acquisition and nurture.  </w:t>
      </w:r>
      <w:r>
        <w:rPr>
          <w:rFonts w:ascii="Aptos" w:hAnsi="Aptos" w:eastAsia="Aptos" w:cs="Aptos"/>
          <w:b w:val="0"/>
          <w:color w:val="1E242B"/>
          <w:sz w:val="18"/>
        </w:rPr>
        <w:t>YouTube parent stories and LinkedIn student/project posts make the program more tangible; NIAT also maintains an Instagram account.</w:t>
      </w:r>
      <w:r>
        <w:t xml:space="preserve">  (</w:t>
      </w:r>
      <w:hyperlink r:id="rId14">
        <w:r>
          <w:rPr>
            <w:color w:val="185A78"/>
            <w:u w:val="single"/>
            <w:sz w:val="17"/>
          </w:rPr>
          <w:t>YouTube</w:t>
        </w:r>
      </w:hyperlink>
      <w:r>
        <w:t xml:space="preserve"> · </w:t>
      </w:r>
      <w:hyperlink r:id="rId15">
        <w:r>
          <w:rPr>
            <w:color w:val="185A78"/>
            <w:u w:val="single"/>
            <w:sz w:val="17"/>
          </w:rPr>
          <w:t>LinkedIn</w:t>
        </w:r>
      </w:hyperlink>
      <w:r>
        <w:t xml:space="preserve"> · </w:t>
      </w:r>
      <w:hyperlink r:id="rId16">
        <w:r>
          <w:rPr>
            <w:color w:val="185A78"/>
            <w:u w:val="single"/>
            <w:sz w:val="17"/>
          </w:rPr>
          <w:t>Instagram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Creator partnerships | Acquisition.  </w:t>
      </w:r>
      <w:r>
        <w:rPr>
          <w:rFonts w:ascii="Aptos" w:hAnsi="Aptos" w:eastAsia="Aptos" w:cs="Aptos"/>
          <w:b w:val="0"/>
          <w:color w:val="1E242B"/>
          <w:sz w:val="18"/>
        </w:rPr>
        <w:t>AI creator Tanishq Jain publicly lists an ongoing NIAT campaign of 15 videos, placing the brand in creator-led content.</w:t>
      </w:r>
      <w:r>
        <w:t xml:space="preserve">  (</w:t>
      </w:r>
      <w:hyperlink r:id="rId17">
        <w:r>
          <w:rPr>
            <w:color w:val="185A78"/>
            <w:u w:val="single"/>
            <w:sz w:val="17"/>
          </w:rPr>
          <w:t>creator disclosure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Teacher network | Acquisition.  </w:t>
      </w:r>
      <w:r>
        <w:rPr>
          <w:rFonts w:ascii="Aptos" w:hAnsi="Aptos" w:eastAsia="Aptos" w:cs="Aptos"/>
          <w:b w:val="0"/>
          <w:color w:val="1E242B"/>
          <w:sz w:val="18"/>
        </w:rPr>
        <w:t>Super Teacher puts NIAT in front of educators; its page reports training 2,000+ teachers across 500+ schools.</w:t>
      </w:r>
      <w:r>
        <w:t xml:space="preserve">  (</w:t>
      </w:r>
      <w:hyperlink r:id="rId18">
        <w:r>
          <w:rPr>
            <w:color w:val="185A78"/>
            <w:u w:val="single"/>
            <w:sz w:val="17"/>
          </w:rPr>
          <w:t>Super Teacher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Campus pages and outcomes | Conversion.  </w:t>
      </w:r>
      <w:r>
        <w:rPr>
          <w:rFonts w:ascii="Aptos" w:hAnsi="Aptos" w:eastAsia="Aptos" w:cs="Aptos"/>
          <w:b w:val="0"/>
          <w:color w:val="1E242B"/>
          <w:sz w:val="18"/>
        </w:rPr>
        <w:t>Institution-specific pages, internship stories, brochure requests and counsellor calls help families evaluate options and enquire.</w:t>
      </w:r>
      <w:r>
        <w:t xml:space="preserve">  (</w:t>
      </w:r>
      <w:hyperlink r:id="rId19">
        <w:r>
          <w:rPr>
            <w:color w:val="185A78"/>
            <w:u w:val="single"/>
            <w:sz w:val="17"/>
          </w:rPr>
          <w:t>campus directory</w:t>
        </w:r>
      </w:hyperlink>
      <w:r>
        <w:t xml:space="preserve"> · </w:t>
      </w:r>
      <w:hyperlink r:id="rId20">
        <w:r>
          <w:rPr>
            <w:color w:val="185A78"/>
            <w:u w:val="single"/>
            <w:sz w:val="17"/>
          </w:rPr>
          <w:t>internship stories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NAT, counselling and scholarship | Conversion.  </w:t>
      </w:r>
      <w:r>
        <w:rPr>
          <w:rFonts w:ascii="Aptos" w:hAnsi="Aptos" w:eastAsia="Aptos" w:cs="Aptos"/>
          <w:b w:val="0"/>
          <w:color w:val="1E242B"/>
          <w:sz w:val="18"/>
        </w:rPr>
        <w:t>The paid test qualifies prospects; a counsellor suggests a collaborating university, and NAT/profile/counselling can affect an up-to-₹2 lakh NIAT-fee scholarship.</w:t>
      </w:r>
      <w:r>
        <w:t xml:space="preserve">  (</w:t>
      </w:r>
      <w:hyperlink r:id="rId9">
        <w:r>
          <w:rPr>
            <w:color w:val="185A78"/>
            <w:u w:val="single"/>
            <w:sz w:val="17"/>
          </w:rPr>
          <w:t>NAT process</w:t>
        </w:r>
      </w:hyperlink>
      <w:r>
        <w:t xml:space="preserve"> · </w:t>
      </w:r>
      <w:hyperlink r:id="rId10">
        <w:r>
          <w:rPr>
            <w:color w:val="185A78"/>
            <w:u w:val="single"/>
            <w:sz w:val="17"/>
          </w:rPr>
          <w:t>scholarship FAQ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WhatsApp | Conversion.  </w:t>
      </w:r>
      <w:r>
        <w:rPr>
          <w:rFonts w:ascii="Aptos" w:hAnsi="Aptos" w:eastAsia="Aptos" w:cs="Aptos"/>
          <w:b w:val="0"/>
          <w:color w:val="1E242B"/>
          <w:sz w:val="18"/>
        </w:rPr>
        <w:t>The official site provides a direct WhatsApp contact for questions after initial interest.</w:t>
      </w:r>
      <w:r>
        <w:t xml:space="preserve">  (</w:t>
      </w:r>
      <w:hyperlink r:id="rId21">
        <w:r>
          <w:rPr>
            <w:color w:val="185A78"/>
            <w:u w:val="single"/>
            <w:sz w:val="17"/>
          </w:rPr>
          <w:t>NIAT site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50575E"/>
          <w:sz w:val="17"/>
        </w:rPr>
        <w:t xml:space="preserve">Brief-reported only: </w:t>
      </w:r>
      <w:r>
        <w:rPr>
          <w:rFonts w:ascii="Aptos" w:hAnsi="Aptos" w:eastAsia="Aptos" w:cs="Aptos"/>
          <w:b w:val="0"/>
          <w:color w:val="50575E"/>
          <w:sz w:val="17"/>
        </w:rPr>
        <w:t>offline school/inter-college events, campus activations, counsellor networks and performance ads were named in the challenge brief; current campaign operations were not independently verified.</w:t>
      </w:r>
    </w:p>
    <w:p>
      <w:pPr>
        <w:pStyle w:val="Heading2"/>
        <w:keepNext/>
        <w:spacing w:before="200" w:after="60"/>
      </w:pPr>
      <w:r>
        <w:rPr>
          <w:rFonts w:ascii="Aptos" w:hAnsi="Aptos" w:eastAsia="Aptos" w:cs="Aptos"/>
          <w:b/>
          <w:color w:val="000000"/>
          <w:sz w:val="21"/>
        </w:rPr>
        <w:t>Two closest direct competitors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Scaler School of Technology.  </w:t>
      </w:r>
      <w:r>
        <w:rPr>
          <w:rFonts w:ascii="Aptos" w:hAnsi="Aptos" w:eastAsia="Aptos" w:cs="Aptos"/>
          <w:b w:val="0"/>
          <w:color w:val="1E242B"/>
          <w:sz w:val="18"/>
        </w:rPr>
        <w:t>Clearer cost comparison: it publishes year-by-year tuition, hostel and parallel-degree fees; NIAT says institution-specific fees are given after NAT/counselling.</w:t>
      </w:r>
      <w:r>
        <w:t xml:space="preserve">  (</w:t>
      </w:r>
      <w:hyperlink r:id="rId22">
        <w:r>
          <w:rPr>
            <w:color w:val="185A78"/>
            <w:u w:val="single"/>
            <w:sz w:val="17"/>
          </w:rPr>
          <w:t>Scaler fee table</w:t>
        </w:r>
      </w:hyperlink>
      <w:r>
        <w:t xml:space="preserve"> · </w:t>
      </w:r>
      <w:hyperlink r:id="rId10">
        <w:r>
          <w:rPr>
            <w:color w:val="185A78"/>
            <w:u w:val="single"/>
            <w:sz w:val="17"/>
          </w:rPr>
          <w:t>NIAT fee FAQ</w:t>
        </w:r>
      </w:hyperlink>
      <w:r>
        <w:t>)</w:t>
      </w:r>
    </w:p>
    <w:p>
      <w:pPr>
        <w:spacing w:after="68" w:line="257" w:lineRule="auto"/>
      </w:pPr>
      <w:r>
        <w:rPr>
          <w:rFonts w:ascii="Aptos" w:hAnsi="Aptos" w:eastAsia="Aptos" w:cs="Aptos"/>
          <w:b/>
          <w:color w:val="1E242B"/>
          <w:sz w:val="18"/>
        </w:rPr>
        <w:t xml:space="preserve">Newton School of Technology.  </w:t>
      </w:r>
      <w:r>
        <w:rPr>
          <w:rFonts w:ascii="Aptos" w:hAnsi="Aptos" w:eastAsia="Aptos" w:cs="Aptos"/>
          <w:b w:val="0"/>
          <w:color w:val="1E242B"/>
          <w:sz w:val="18"/>
        </w:rPr>
        <w:t>More decision-useful internship reporting: it publishes second-year paid-internship rates by campus (98.3% Pune; 93%+ Delhi), while NIAT highlights 200+ paid offers without a cohort denominator. These are operators' published figures.</w:t>
      </w:r>
      <w:r>
        <w:t xml:space="preserve">  (</w:t>
      </w:r>
      <w:hyperlink r:id="rId23">
        <w:r>
          <w:rPr>
            <w:color w:val="185A78"/>
            <w:u w:val="single"/>
            <w:sz w:val="17"/>
          </w:rPr>
          <w:t>Newton outcomes</w:t>
        </w:r>
      </w:hyperlink>
      <w:r>
        <w:t xml:space="preserve"> · </w:t>
      </w:r>
      <w:hyperlink r:id="rId20">
        <w:r>
          <w:rPr>
            <w:color w:val="185A78"/>
            <w:u w:val="single"/>
            <w:sz w:val="17"/>
          </w:rPr>
          <w:t>NIAT internships</w:t>
        </w:r>
      </w:hyperlink>
      <w:r>
        <w:t>)</w:t>
      </w:r>
    </w:p>
    <w:p>
      <w:pPr>
        <w:pStyle w:val="Heading2"/>
        <w:keepNext/>
        <w:spacing w:before="200" w:after="60"/>
      </w:pPr>
      <w:r>
        <w:rPr>
          <w:rFonts w:ascii="Aptos" w:hAnsi="Aptos" w:eastAsia="Aptos" w:cs="Aptos"/>
          <w:b/>
          <w:color w:val="000000"/>
          <w:sz w:val="21"/>
        </w:rPr>
        <w:t>The hidden detail</w:t>
      </w:r>
    </w:p>
    <w:p>
      <w:pPr>
        <w:spacing w:after="68" w:line="257" w:lineRule="auto"/>
      </w:pPr>
      <w:r>
        <w:rPr>
          <w:rFonts w:ascii="Aptos" w:hAnsi="Aptos" w:eastAsia="Aptos" w:cs="Aptos"/>
          <w:b w:val="0"/>
          <w:color w:val="1E242B"/>
          <w:sz w:val="18"/>
        </w:rPr>
        <w:t>NIAT's homepage explicitly says some headline outcomes cover multiple NxtWave programs, including online cohorts and placement-support programs. Those figures should not be read as NIAT-only outcomes when speaking to a parent or proposing a growth claim.</w:t>
      </w:r>
      <w:r>
        <w:t xml:space="preserve">  (</w:t>
      </w:r>
      <w:hyperlink r:id="rId21">
        <w:r>
          <w:rPr>
            <w:color w:val="185A78"/>
            <w:u w:val="single"/>
            <w:sz w:val="17"/>
          </w:rPr>
          <w:t>NIAT outcomes disclaimer</w:t>
        </w:r>
      </w:hyperlink>
      <w:r>
        <w:t>)</w:t>
      </w:r>
    </w:p>
    <w:p>
      <w:pPr>
        <w:spacing w:before="100"/>
      </w:pPr>
      <w:r>
        <w:rPr>
          <w:rFonts w:ascii="Aptos" w:hAnsi="Aptos" w:eastAsia="Aptos" w:cs="Aptos"/>
          <w:b w:val="0"/>
          <w:color w:val="646A70"/>
          <w:sz w:val="15"/>
        </w:rPr>
        <w:t>Source labels are clickable in the Word and PDF versions. Public pages reviewed 15 October 2026.</w:t>
      </w:r>
    </w:p>
    <w:sectPr w:rsidR="00FC693F" w:rsidRPr="0006063C" w:rsidSect="00034616">
      <w:pgSz w:w="11909" w:h="16834"/>
      <w:pgMar w:top="907" w:right="1037" w:bottom="87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8"/>
    </w:pPr>
    <w:rPr>
      <w:rFonts w:ascii="Aptos" w:hAnsi="Aptos"/>
      <w:color w:val="1E24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iatindia.com/assessment-test" TargetMode="External"/><Relationship Id="rId10" Type="http://schemas.openxmlformats.org/officeDocument/2006/relationships/hyperlink" Target="https://apply.niatindia.com/login-gnc/" TargetMode="External"/><Relationship Id="rId11" Type="http://schemas.openxmlformats.org/officeDocument/2006/relationships/hyperlink" Target="https://www.niatindia.com/ai-bootcamp" TargetMode="External"/><Relationship Id="rId12" Type="http://schemas.openxmlformats.org/officeDocument/2006/relationships/hyperlink" Target="https://www.niatindia.com/niat-challenge" TargetMode="External"/><Relationship Id="rId13" Type="http://schemas.openxmlformats.org/officeDocument/2006/relationships/hyperlink" Target="https://www.niatindia.com/solvers-league" TargetMode="External"/><Relationship Id="rId14" Type="http://schemas.openxmlformats.org/officeDocument/2006/relationships/hyperlink" Target="https://www.youtube.com/watch?v=HgkVKWnX9K8" TargetMode="External"/><Relationship Id="rId15" Type="http://schemas.openxmlformats.org/officeDocument/2006/relationships/hyperlink" Target="https://in.linkedin.com/school/nxtwave-of-innovation-in-advanced-technologies/" TargetMode="External"/><Relationship Id="rId16" Type="http://schemas.openxmlformats.org/officeDocument/2006/relationships/hyperlink" Target="https://www.instagram.com/niat_india/" TargetMode="External"/><Relationship Id="rId17" Type="http://schemas.openxmlformats.org/officeDocument/2006/relationships/hyperlink" Target="https://www.thetanishqjain.com/" TargetMode="External"/><Relationship Id="rId18" Type="http://schemas.openxmlformats.org/officeDocument/2006/relationships/hyperlink" Target="https://www.niatindia.com/super-teacher" TargetMode="External"/><Relationship Id="rId19" Type="http://schemas.openxmlformats.org/officeDocument/2006/relationships/hyperlink" Target="https://www.niatindia.com/campus" TargetMode="External"/><Relationship Id="rId20" Type="http://schemas.openxmlformats.org/officeDocument/2006/relationships/hyperlink" Target="https://www.niatindia.com/student-internships" TargetMode="External"/><Relationship Id="rId21" Type="http://schemas.openxmlformats.org/officeDocument/2006/relationships/hyperlink" Target="https://www.niatindia.com/" TargetMode="External"/><Relationship Id="rId22" Type="http://schemas.openxmlformats.org/officeDocument/2006/relationships/hyperlink" Target="https://www.scaler.com/school-of-technology/admission/" TargetMode="External"/><Relationship Id="rId23" Type="http://schemas.openxmlformats.org/officeDocument/2006/relationships/hyperlink" Target="https://www.newtonschool.co/newton-school-of-technology-nst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