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NIAT Growth Challenge Reflection</w:t>
      </w:r>
    </w:p>
    <w:p>
      <w:pPr>
        <w:spacing w:after="380"/>
      </w:pPr>
      <w:r>
        <w:rPr>
          <w:color w:val="546268"/>
          <w:sz w:val="19"/>
        </w:rPr>
        <w:t>Layer 4  |  Personal reflection</w:t>
      </w:r>
    </w:p>
    <w:p>
      <w:pPr>
        <w:pStyle w:val="Heading2"/>
      </w:pPr>
      <w:r>
        <w:t>What I learned about myself</w:t>
      </w:r>
    </w:p>
    <w:p>
      <w:r>
        <w:t>I learned that I can move quickly from research to a working growth system, but speed makes verification more important, not less. My first live AI draft added accreditation and facility claims about a fictional university that I had never supplied or checked. I caught that in the reviewer flow, replaced those claims with exact case inputs and sourced NIAT facts, and kept AI focused on questions that a counsellor must answer. That experience changed how I think about AI in growth: it is useful for organizing decisions, but I am responsible for every claim a family sees.</w:t>
      </w:r>
    </w:p>
    <w:p>
      <w:pPr>
        <w:pStyle w:val="Heading2"/>
      </w:pPr>
      <w:r>
        <w:t>My rating and why</w:t>
      </w:r>
    </w:p>
    <w:p>
      <w:r>
        <w:t>I would rate this submission 9/10. The audit distinguished NIAT's upskilling from the university degree and traced its visible funnel. The proposed Parent Decision Brief has a clear audience, a 14-day test, and an explicit payment metric; the 10% to 16% lift is a hypothesis, not a result. I also shipped a public prototype connecting source checks, AI review, approval, family questions, and call booking. I take off one point because it uses fictional offers and demo slots. Without NIAT's verified fees, counsellor calendars, admissions and payment data, I cannot claim that it improves real enrollment.</w:t>
      </w:r>
    </w:p>
    <w:sectPr w:rsidR="00FC693F" w:rsidRPr="0006063C" w:rsidSect="00034616">
      <w:pgSz w:w="11909" w:h="16834"/>
      <w:pgMar w:top="1123" w:right="1210" w:bottom="1080" w:left="12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220"/>
    </w:pPr>
    <w:rPr>
      <w:rFonts w:ascii="Aptos" w:hAnsi="Aptos"/>
      <w:color w:val="1B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