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Braley</w:t>
      </w:r>
    </w:p>
    <w:p>
      <w:pPr>
        <w:pStyle w:val="Heading3"/>
      </w:pPr>
      <w:bookmarkStart w:id="21" w:name="results"/>
      <w:bookmarkEnd w:id="21"/>
      <w:r>
        <w:t xml:space="preserve">Results</w:t>
      </w:r>
    </w:p>
    <w:p>
      <w:pPr>
        <w:pStyle w:val="FirstParagraph"/>
      </w:pPr>
      <w:r>
        <w:t xml:space="preserve">Table 1: Percentages of drivers testing positive by drug type, sex and year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Cannabinoids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Depressants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Narcotics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Figure 1: Prevalence of nonalcohol drugs in fatally injured drivers by year and age group</w:t>
      </w:r>
      <w:r>
        <w:t xml:space="preserve"> </w:t>
      </w:r>
      <w:r>
        <w:drawing>
          <wp:inline>
            <wp:extent cx="54864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gur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Figure 2: Prevalence of nonalcohol drugs in fatally injured drivers by year and drug type</w:t>
      </w:r>
      <w:r>
        <w:t xml:space="preserve"> </w:t>
      </w:r>
      <w:r>
        <w:drawing>
          <wp:inline>
            <wp:extent cx="54864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gure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Figure 3: Prevalence of cannabinoid drugs in fatally injured drivers by year and age group</w:t>
      </w:r>
      <w:r>
        <w:t xml:space="preserve"> </w:t>
      </w:r>
      <w:r>
        <w:drawing>
          <wp:inline>
            <wp:extent cx="54864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gure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Table 2: Prevalence of drugs in fally injured drivers for 1999 and 2010 by drug type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37.4% (35.3%, 39.6%)</w:t>
            </w:r>
          </w:p>
        </w:tc>
        <w:tc>
          <w:p>
            <w:pPr>
              <w:pStyle w:val="Compact"/>
              <w:jc w:val="left"/>
            </w:pPr>
            <w:r>
              <w:t xml:space="preserve">38.6% (36.2%, 41%)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Narcotics</w:t>
            </w:r>
          </w:p>
        </w:tc>
        <w:tc>
          <w:p>
            <w:pPr>
              <w:pStyle w:val="Compact"/>
              <w:jc w:val="left"/>
            </w:pPr>
            <w:r>
              <w:t xml:space="preserve">1.7% (1.1%, 2.2%)</w:t>
            </w:r>
          </w:p>
        </w:tc>
        <w:tc>
          <w:p>
            <w:pPr>
              <w:pStyle w:val="Compact"/>
              <w:jc w:val="left"/>
            </w:pPr>
            <w:r>
              <w:t xml:space="preserve">5% (3.9%, 6.1%)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Depressants</w:t>
            </w:r>
          </w:p>
        </w:tc>
        <w:tc>
          <w:p>
            <w:pPr>
              <w:pStyle w:val="Compact"/>
              <w:jc w:val="left"/>
            </w:pPr>
            <w:r>
              <w:t xml:space="preserve">1.9% (1.3%, 2.5%)</w:t>
            </w:r>
          </w:p>
        </w:tc>
        <w:tc>
          <w:p>
            <w:pPr>
              <w:pStyle w:val="Compact"/>
              <w:jc w:val="left"/>
            </w:pPr>
            <w:r>
              <w:t xml:space="preserve">4.8% (3.7%, 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  <w:tc>
          <w:p>
            <w:pPr>
              <w:pStyle w:val="Compact"/>
              <w:jc w:val="left"/>
            </w:pPr>
            <w:r>
              <w:t xml:space="preserve">7.3% (6.2%, 8.5%)</w:t>
            </w:r>
          </w:p>
        </w:tc>
        <w:tc>
          <w:p>
            <w:pPr>
              <w:pStyle w:val="Compact"/>
              <w:jc w:val="left"/>
            </w:pPr>
            <w:r>
              <w:t xml:space="preserve">8.3% (7%, 9.7%)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Cannabinoids</w:t>
            </w:r>
          </w:p>
        </w:tc>
        <w:tc>
          <w:p>
            <w:pPr>
              <w:pStyle w:val="Compact"/>
              <w:jc w:val="left"/>
            </w:pPr>
            <w:r>
              <w:t xml:space="preserve">3.7% (2.9%, 4.5%)</w:t>
            </w:r>
          </w:p>
        </w:tc>
        <w:tc>
          <w:p>
            <w:pPr>
              <w:pStyle w:val="Compact"/>
              <w:jc w:val="left"/>
            </w:pPr>
            <w:r>
              <w:t xml:space="preserve">11.5% (10%, 13.1%)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3.4% (2.6%, 4.2%)</w:t>
            </w:r>
          </w:p>
        </w:tc>
        <w:tc>
          <w:p>
            <w:pPr>
              <w:pStyle w:val="Compact"/>
              <w:jc w:val="left"/>
            </w:pPr>
            <w:r>
              <w:t xml:space="preserve">5% (3.9%, 6.1%)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Table 3: Statistics for testing for trend in prevalence of drugs over study years by drug type using Cochran-Armitage trend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Narcotics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Depressants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Cannabinoids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Table 4: Statistics for testing for trend in prevalence of drugs over study years by drug type using Wald test of logistic regression coefficient for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Narcotics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Depressants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  <w:tc>
          <w:p>
            <w:pPr>
              <w:pStyle w:val="Compact"/>
              <w:jc w:val="right"/>
            </w:pPr>
            <w:r>
              <w:t xml:space="preserve">-0.4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Cannabinoids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</w:tbl>
    <w:sectPr w:rsidR="003A30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5ED4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88B977"/>
    <w:multiLevelType w:val="multilevel"/>
    <w:tmpl w:val="72BE7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2f743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E080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B2E6D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rsid w:val="003E080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E080F"/>
    <w:pPr>
      <w:keepNext/>
    </w:pPr>
    <w:rPr>
      <w:b/>
      <w:i w:val="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Compact"/>
    <w:qFormat/>
    <w:rsid w:val="003A3016"/>
  </w:style>
  <w:style w:type="paragraph" w:customStyle="1" w:styleId="Style2">
    <w:name w:val="Style2"/>
    <w:basedOn w:val="TableCaption"/>
    <w:qFormat/>
    <w:rsid w:val="003A3016"/>
    <w:rPr>
      <w:b w:val="0"/>
      <w:i/>
    </w:rPr>
  </w:style>
  <w:style w:type="paragraph" w:customStyle="1" w:styleId="Style3">
    <w:name w:val="Style3"/>
    <w:basedOn w:val="Heading3"/>
    <w:qFormat/>
    <w:rsid w:val="003A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Scott Braley</dc:creator>
</cp:coreProperties>
</file>