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Calibri" w:hAnsi="Calibri"/>
          <w:b/>
          <w:color w:val="2E74B5"/>
          <w:sz w:val="20"/>
        </w:rPr>
        <w:t>BUSINESS REQUIREMENTS DOCUMENT</w:t>
      </w:r>
    </w:p>
    <w:p>
      <w:pPr>
        <w:spacing w:after="100"/>
      </w:pPr>
      <w:r>
        <w:rPr>
          <w:rFonts w:ascii="Calibri" w:hAnsi="Calibri"/>
          <w:b/>
          <w:color w:val="243447"/>
          <w:sz w:val="50"/>
        </w:rPr>
        <w:t>Salesforce Mobile Asset Work Order Finder</w:t>
      </w:r>
    </w:p>
    <w:p>
      <w:pPr>
        <w:spacing w:after="280"/>
      </w:pPr>
      <w:r>
        <w:rPr>
          <w:rFonts w:ascii="Calibri" w:hAnsi="Calibri"/>
          <w:color w:val="667085"/>
          <w:sz w:val="26"/>
        </w:rPr>
        <w:t>Enable an onsite field service engineer to identify equipment and open the correct active service record</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after="0" w:line="240" w:lineRule="auto"/>
            </w:pPr>
            <w:r>
              <w:rPr>
                <w:rFonts w:ascii="Calibri" w:hAnsi="Calibri"/>
                <w:b/>
                <w:color w:val="1F4D78"/>
                <w:sz w:val="19"/>
              </w:rPr>
              <w:t>Document field</w:t>
            </w:r>
          </w:p>
        </w:tc>
        <w:tc>
          <w:tcPr>
            <w:tcW w:type="dxa" w:w="7160"/>
            <w:vAlign w:val="center"/>
            <w:tcMar>
              <w:top w:w="80" w:type="dxa"/>
              <w:start w:w="120" w:type="dxa"/>
              <w:bottom w:w="80" w:type="dxa"/>
              <w:end w:w="120" w:type="dxa"/>
            </w:tcMar>
            <w:shd w:fill="F2F4F7"/>
          </w:tcPr>
          <w:p>
            <w:pPr>
              <w:spacing w:after="0" w:line="240" w:lineRule="auto"/>
            </w:pPr>
            <w:r>
              <w:rPr>
                <w:rFonts w:ascii="Calibri" w:hAnsi="Calibri"/>
                <w:b/>
                <w:color w:val="1F4D78"/>
                <w:sz w:val="19"/>
              </w:rPr>
              <w:t>Value</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9"/>
              </w:rPr>
              <w:t>Version</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9"/>
              </w:rPr>
              <w:t>1.0</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9"/>
              </w:rPr>
              <w:t>Status</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9"/>
              </w:rPr>
              <w:t>Draft for business review</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9"/>
              </w:rPr>
              <w:t>Date</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9"/>
              </w:rPr>
              <w:t>3 August 2026</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9"/>
              </w:rPr>
              <w:t>Business owner</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9"/>
              </w:rPr>
              <w:t>Field Service Operations - to be confirmed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9"/>
              </w:rPr>
              <w:t>Product owner</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9"/>
              </w:rPr>
              <w:t>Service Applications - to be confirmed</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9"/>
              </w:rPr>
              <w:t>Target platform</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9"/>
              </w:rPr>
              <w:t>Salesforce mobile app</w:t>
            </w:r>
          </w:p>
        </w:tc>
      </w:tr>
      <w:tr>
        <w:tc>
          <w:tcPr>
            <w:tcW w:type="dxa" w:w="2200"/>
            <w:vAlign w:val="center"/>
            <w:tcMar>
              <w:top w:w="80" w:type="dxa"/>
              <w:start w:w="120" w:type="dxa"/>
              <w:bottom w:w="80" w:type="dxa"/>
              <w:end w:w="120" w:type="dxa"/>
            </w:tcMar>
          </w:tcPr>
          <w:p>
            <w:pPr>
              <w:spacing w:after="0" w:line="240" w:lineRule="auto"/>
            </w:pPr>
            <w:r>
              <w:rPr>
                <w:rFonts w:ascii="Calibri" w:hAnsi="Calibri"/>
                <w:color w:val="243447"/>
                <w:sz w:val="19"/>
              </w:rPr>
              <w:t>Current delivery status</w:t>
            </w:r>
          </w:p>
        </w:tc>
        <w:tc>
          <w:tcPr>
            <w:tcW w:type="dxa" w:w="7160"/>
            <w:vAlign w:val="center"/>
            <w:tcMar>
              <w:top w:w="80" w:type="dxa"/>
              <w:start w:w="120" w:type="dxa"/>
              <w:bottom w:w="80" w:type="dxa"/>
              <w:end w:w="120" w:type="dxa"/>
            </w:tcMar>
          </w:tcPr>
          <w:p>
            <w:pPr>
              <w:spacing w:after="0" w:line="240" w:lineRule="auto"/>
            </w:pPr>
            <w:r>
              <w:rPr>
                <w:rFonts w:ascii="Calibri" w:hAnsi="Calibri"/>
                <w:color w:val="243447"/>
                <w:sz w:val="19"/>
              </w:rPr>
              <w:t>Implemented and deployed to the newMBD scratch org</w:t>
            </w:r>
          </w:p>
        </w:tc>
      </w:tr>
    </w:tbl>
    <w:p>
      <w:pPr>
        <w:spacing w:after="20"/>
      </w:pPr>
    </w:p>
    <w:p>
      <w:pPr>
        <w:spacing w:before="80" w:after="160" w:line="252" w:lineRule="auto"/>
        <w:ind w:left="120" w:right="120"/>
        <w:shd w:fill="E8EEF5"/>
        <w:pBdr>
          <w:top w:val="single" w:sz="6" w:space="6" w:color="C9D2DC"/>
          <w:left w:val="single" w:sz="6" w:space="6" w:color="C9D2DC"/>
          <w:bottom w:val="single" w:sz="6" w:space="6" w:color="C9D2DC"/>
          <w:right w:val="single" w:sz="6" w:space="6" w:color="C9D2DC"/>
        </w:pBdr>
      </w:pPr>
      <w:r>
        <w:rPr>
          <w:rFonts w:ascii="Calibri" w:hAnsi="Calibri"/>
          <w:b/>
          <w:color w:val="1F4D78"/>
          <w:sz w:val="21"/>
        </w:rPr>
        <w:t xml:space="preserve">Business outcome: </w:t>
      </w:r>
      <w:r>
        <w:rPr>
          <w:rFonts w:ascii="Calibri" w:hAnsi="Calibri"/>
          <w:color w:val="243447"/>
          <w:sz w:val="21"/>
        </w:rPr>
        <w:t>An FSE arriving onsite can identify the physical Asset by QR code or verified nameplate text, see only related open Work Orders that the user is authorized to access, and open the selected Work Order without manually searching Salesforce.</w:t>
      </w:r>
    </w:p>
    <w:p>
      <w:pPr>
        <w:pStyle w:val="Heading1"/>
        <w:keepNext/>
        <w:keepLines/>
      </w:pPr>
      <w:r>
        <w:t>1. Executive summary</w:t>
      </w:r>
    </w:p>
    <w:p>
      <w:r>
        <w:rPr>
          <w:rFonts w:ascii="Calibri" w:hAnsi="Calibri"/>
          <w:color w:val="243447"/>
          <w:sz w:val="22"/>
        </w:rPr>
        <w:t>Field service engineers need a fast and reliable way to move from the physical equipment in front of them to the correct service work in Salesforce. Manual searching by customer, serial number, or Work Order number takes time and can lead to selection of the wrong Asset or a closed service record.</w:t>
      </w:r>
    </w:p>
    <w:p>
      <w:r>
        <w:rPr>
          <w:rFonts w:ascii="Calibri" w:hAnsi="Calibri"/>
          <w:color w:val="243447"/>
          <w:sz w:val="22"/>
        </w:rPr>
        <w:t>The proposed capability provides a mobile-first Asset Work Order Finder. The FSE scans a QR code or uses the camera to read a nameplate, verifies the identified Asset, reviews its open Work Orders, and opens the required record. The process is read-only and respects existing Salesforce record sharing and field permissions.</w:t>
      </w:r>
    </w:p>
    <w:p>
      <w:pPr>
        <w:pStyle w:val="Heading1"/>
        <w:keepNext/>
        <w:keepLines/>
      </w:pPr>
      <w:r>
        <w:t>2. Purpose and business need</w:t>
      </w:r>
    </w:p>
    <w:p>
      <w:pPr>
        <w:pStyle w:val="Heading2"/>
        <w:keepNext/>
        <w:keepLines/>
      </w:pPr>
      <w:r>
        <w:t>2.1 Purpose</w:t>
      </w:r>
    </w:p>
    <w:p>
      <w:r>
        <w:rPr>
          <w:rFonts w:ascii="Calibri" w:hAnsi="Calibri"/>
          <w:color w:val="243447"/>
          <w:sz w:val="22"/>
        </w:rPr>
        <w:t>This BRD defines the business outcomes, scope, user journey, requirements, controls, and acceptance criteria for onsite Asset identification and open Work Order retrieval in the Salesforce mobile app. It is intended to align Field Service Operations, Service Applications, Salesforce administration, security, data owners, and support teams before production rollout.</w:t>
      </w:r>
    </w:p>
    <w:p>
      <w:pPr>
        <w:pStyle w:val="Heading2"/>
        <w:keepNext/>
        <w:keepLines/>
      </w:pPr>
      <w:r>
        <w:t>2.2 Problem statement</w:t>
      </w:r>
    </w:p>
    <w:p>
      <w:pPr>
        <w:numPr>
          <w:ilvl w:val="0"/>
          <w:numId w:val="41"/>
        </w:numPr>
      </w:pPr>
      <w:r>
        <w:rPr>
          <w:rFonts w:ascii="Calibri" w:hAnsi="Calibri"/>
          <w:color w:val="243447"/>
          <w:sz w:val="22"/>
        </w:rPr>
        <w:t>An FSE may not know the Salesforce Asset name or record identifier when standing beside the equipment.</w:t>
      </w:r>
    </w:p>
    <w:p>
      <w:pPr>
        <w:numPr>
          <w:ilvl w:val="0"/>
          <w:numId w:val="41"/>
        </w:numPr>
      </w:pPr>
      <w:r>
        <w:rPr>
          <w:rFonts w:ascii="Calibri" w:hAnsi="Calibri"/>
          <w:color w:val="243447"/>
          <w:sz w:val="22"/>
        </w:rPr>
        <w:t>Searching by customer, site, product, serial number, or Work Order can be slow and may return multiple records.</w:t>
      </w:r>
    </w:p>
    <w:p>
      <w:pPr>
        <w:numPr>
          <w:ilvl w:val="0"/>
          <w:numId w:val="41"/>
        </w:numPr>
      </w:pPr>
      <w:r>
        <w:rPr>
          <w:rFonts w:ascii="Calibri" w:hAnsi="Calibri"/>
          <w:color w:val="243447"/>
          <w:sz w:val="22"/>
        </w:rPr>
        <w:t>The relationship between a physical Asset and its current open Work Orders is not immediately visible from the equipment itself.</w:t>
      </w:r>
    </w:p>
    <w:p>
      <w:pPr>
        <w:numPr>
          <w:ilvl w:val="0"/>
          <w:numId w:val="41"/>
        </w:numPr>
      </w:pPr>
      <w:r>
        <w:rPr>
          <w:rFonts w:ascii="Calibri" w:hAnsi="Calibri"/>
          <w:color w:val="243447"/>
          <w:sz w:val="22"/>
        </w:rPr>
        <w:t>Selecting a closed or unrelated Work Order can create service delay, incorrect updates, and audit concerns.</w:t>
      </w:r>
    </w:p>
    <w:p>
      <w:pPr>
        <w:numPr>
          <w:ilvl w:val="0"/>
          <w:numId w:val="41"/>
        </w:numPr>
      </w:pPr>
      <w:r>
        <w:rPr>
          <w:rFonts w:ascii="Calibri" w:hAnsi="Calibri"/>
          <w:color w:val="243447"/>
          <w:sz w:val="22"/>
        </w:rPr>
        <w:t>Camera-based identification must remain assistive: the FSE must verify the result before navigation.</w:t>
      </w:r>
    </w:p>
    <w:p>
      <w:pPr>
        <w:pStyle w:val="Heading1"/>
        <w:keepNext/>
        <w:keepLines/>
      </w:pPr>
      <w:r>
        <w:t>3. Objectives and success outcomes</w:t>
      </w:r>
    </w:p>
    <w:tbl>
      <w:tblPr>
        <w:tblStyle w:val="TableGrid"/>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vAlign w:val="center"/>
            <w:tcMar>
              <w:top w:w="80" w:type="dxa"/>
              <w:start w:w="120" w:type="dxa"/>
              <w:bottom w:w="80" w:type="dxa"/>
              <w:end w:w="120" w:type="dxa"/>
            </w:tcMar>
            <w:shd w:fill="F2F4F7"/>
          </w:tcPr>
          <w:p>
            <w:pPr>
              <w:spacing w:after="0" w:line="240" w:lineRule="auto"/>
            </w:pPr>
            <w:r>
              <w:rPr>
                <w:rFonts w:ascii="Calibri" w:hAnsi="Calibri"/>
                <w:b/>
                <w:color w:val="1F4D78"/>
                <w:sz w:val="18"/>
              </w:rPr>
              <w:t>Objective</w:t>
            </w:r>
          </w:p>
        </w:tc>
        <w:tc>
          <w:tcPr>
            <w:tcW w:type="dxa" w:w="6810"/>
            <w:vAlign w:val="center"/>
            <w:tcMar>
              <w:top w:w="80" w:type="dxa"/>
              <w:start w:w="120" w:type="dxa"/>
              <w:bottom w:w="80" w:type="dxa"/>
              <w:end w:w="120" w:type="dxa"/>
            </w:tcMar>
            <w:shd w:fill="F2F4F7"/>
          </w:tcPr>
          <w:p>
            <w:pPr>
              <w:spacing w:after="0" w:line="240" w:lineRule="auto"/>
            </w:pPr>
            <w:r>
              <w:rPr>
                <w:rFonts w:ascii="Calibri" w:hAnsi="Calibri"/>
                <w:b/>
                <w:color w:val="1F4D78"/>
                <w:sz w:val="18"/>
              </w:rPr>
              <w:t>Expected business outcome</w:t>
            </w:r>
          </w:p>
        </w:tc>
      </w:tr>
      <w:tr>
        <w:tc>
          <w:tcPr>
            <w:tcW w:type="dxa" w:w="2550"/>
            <w:vAlign w:val="center"/>
            <w:tcMar>
              <w:top w:w="80" w:type="dxa"/>
              <w:start w:w="120" w:type="dxa"/>
              <w:bottom w:w="80" w:type="dxa"/>
              <w:end w:w="120" w:type="dxa"/>
            </w:tcMar>
          </w:tcPr>
          <w:p>
            <w:pPr>
              <w:spacing w:after="0" w:line="240" w:lineRule="auto"/>
            </w:pPr>
            <w:r>
              <w:rPr>
                <w:rFonts w:ascii="Calibri" w:hAnsi="Calibri"/>
                <w:color w:val="243447"/>
                <w:sz w:val="18"/>
              </w:rPr>
              <w:t>Reduce search effort</w:t>
            </w:r>
          </w:p>
        </w:tc>
        <w:tc>
          <w:tcPr>
            <w:tcW w:type="dxa" w:w="6810"/>
            <w:vAlign w:val="center"/>
            <w:tcMar>
              <w:top w:w="80" w:type="dxa"/>
              <w:start w:w="120" w:type="dxa"/>
              <w:bottom w:w="80" w:type="dxa"/>
              <w:end w:w="120" w:type="dxa"/>
            </w:tcMar>
          </w:tcPr>
          <w:p>
            <w:pPr>
              <w:spacing w:after="0" w:line="240" w:lineRule="auto"/>
            </w:pPr>
            <w:r>
              <w:rPr>
                <w:rFonts w:ascii="Calibri" w:hAnsi="Calibri"/>
                <w:color w:val="243447"/>
                <w:sz w:val="18"/>
              </w:rPr>
              <w:t>Move from the physical equipment to the relevant Work Order in a small number of mobile actions.</w:t>
            </w:r>
          </w:p>
        </w:tc>
      </w:tr>
      <w:tr>
        <w:tc>
          <w:tcPr>
            <w:tcW w:type="dxa" w:w="2550"/>
            <w:vAlign w:val="center"/>
            <w:tcMar>
              <w:top w:w="80" w:type="dxa"/>
              <w:start w:w="120" w:type="dxa"/>
              <w:bottom w:w="80" w:type="dxa"/>
              <w:end w:w="120" w:type="dxa"/>
            </w:tcMar>
          </w:tcPr>
          <w:p>
            <w:pPr>
              <w:spacing w:after="0" w:line="240" w:lineRule="auto"/>
            </w:pPr>
            <w:r>
              <w:rPr>
                <w:rFonts w:ascii="Calibri" w:hAnsi="Calibri"/>
                <w:color w:val="243447"/>
                <w:sz w:val="18"/>
              </w:rPr>
              <w:t>Improve record accuracy</w:t>
            </w:r>
          </w:p>
        </w:tc>
        <w:tc>
          <w:tcPr>
            <w:tcW w:type="dxa" w:w="6810"/>
            <w:vAlign w:val="center"/>
            <w:tcMar>
              <w:top w:w="80" w:type="dxa"/>
              <w:start w:w="120" w:type="dxa"/>
              <w:bottom w:w="80" w:type="dxa"/>
              <w:end w:w="120" w:type="dxa"/>
            </w:tcMar>
          </w:tcPr>
          <w:p>
            <w:pPr>
              <w:spacing w:after="0" w:line="240" w:lineRule="auto"/>
            </w:pPr>
            <w:r>
              <w:rPr>
                <w:rFonts w:ascii="Calibri" w:hAnsi="Calibri"/>
                <w:color w:val="243447"/>
                <w:sz w:val="18"/>
              </w:rPr>
              <w:t>Use a deterministic QR identifier or a user-confirmed serial match before showing service work.</w:t>
            </w:r>
          </w:p>
        </w:tc>
      </w:tr>
      <w:tr>
        <w:tc>
          <w:tcPr>
            <w:tcW w:type="dxa" w:w="2550"/>
            <w:vAlign w:val="center"/>
            <w:tcMar>
              <w:top w:w="80" w:type="dxa"/>
              <w:start w:w="120" w:type="dxa"/>
              <w:bottom w:w="80" w:type="dxa"/>
              <w:end w:w="120" w:type="dxa"/>
            </w:tcMar>
          </w:tcPr>
          <w:p>
            <w:pPr>
              <w:spacing w:after="0" w:line="240" w:lineRule="auto"/>
            </w:pPr>
            <w:r>
              <w:rPr>
                <w:rFonts w:ascii="Calibri" w:hAnsi="Calibri"/>
                <w:color w:val="243447"/>
                <w:sz w:val="18"/>
              </w:rPr>
              <w:t>Protect service data</w:t>
            </w:r>
          </w:p>
        </w:tc>
        <w:tc>
          <w:tcPr>
            <w:tcW w:type="dxa" w:w="6810"/>
            <w:vAlign w:val="center"/>
            <w:tcMar>
              <w:top w:w="80" w:type="dxa"/>
              <w:start w:w="120" w:type="dxa"/>
              <w:bottom w:w="80" w:type="dxa"/>
              <w:end w:w="120" w:type="dxa"/>
            </w:tcMar>
          </w:tcPr>
          <w:p>
            <w:pPr>
              <w:spacing w:after="0" w:line="240" w:lineRule="auto"/>
            </w:pPr>
            <w:r>
              <w:rPr>
                <w:rFonts w:ascii="Calibri" w:hAnsi="Calibri"/>
                <w:color w:val="243447"/>
                <w:sz w:val="18"/>
              </w:rPr>
              <w:t>Show only Assets and Work Orders the signed-in user is authorized to read.</w:t>
            </w:r>
          </w:p>
        </w:tc>
      </w:tr>
      <w:tr>
        <w:tc>
          <w:tcPr>
            <w:tcW w:type="dxa" w:w="2550"/>
            <w:vAlign w:val="center"/>
            <w:tcMar>
              <w:top w:w="80" w:type="dxa"/>
              <w:start w:w="120" w:type="dxa"/>
              <w:bottom w:w="80" w:type="dxa"/>
              <w:end w:w="120" w:type="dxa"/>
            </w:tcMar>
          </w:tcPr>
          <w:p>
            <w:pPr>
              <w:spacing w:after="0" w:line="240" w:lineRule="auto"/>
            </w:pPr>
            <w:r>
              <w:rPr>
                <w:rFonts w:ascii="Calibri" w:hAnsi="Calibri"/>
                <w:color w:val="243447"/>
                <w:sz w:val="18"/>
              </w:rPr>
              <w:t>Support field conditions</w:t>
            </w:r>
          </w:p>
        </w:tc>
        <w:tc>
          <w:tcPr>
            <w:tcW w:type="dxa" w:w="6810"/>
            <w:vAlign w:val="center"/>
            <w:tcMar>
              <w:top w:w="80" w:type="dxa"/>
              <w:start w:w="120" w:type="dxa"/>
              <w:bottom w:w="80" w:type="dxa"/>
              <w:end w:w="120" w:type="dxa"/>
            </w:tcMar>
          </w:tcPr>
          <w:p>
            <w:pPr>
              <w:spacing w:after="0" w:line="240" w:lineRule="auto"/>
            </w:pPr>
            <w:r>
              <w:rPr>
                <w:rFonts w:ascii="Calibri" w:hAnsi="Calibri"/>
                <w:color w:val="243447"/>
                <w:sz w:val="18"/>
              </w:rPr>
              <w:t>Provide QR, camera/OCR, and manual entry paths with clear recovery messages.</w:t>
            </w:r>
          </w:p>
        </w:tc>
      </w:tr>
      <w:tr>
        <w:tc>
          <w:tcPr>
            <w:tcW w:type="dxa" w:w="2550"/>
            <w:vAlign w:val="center"/>
            <w:tcMar>
              <w:top w:w="80" w:type="dxa"/>
              <w:start w:w="120" w:type="dxa"/>
              <w:bottom w:w="80" w:type="dxa"/>
              <w:end w:w="120" w:type="dxa"/>
            </w:tcMar>
          </w:tcPr>
          <w:p>
            <w:pPr>
              <w:spacing w:after="0" w:line="240" w:lineRule="auto"/>
            </w:pPr>
            <w:r>
              <w:rPr>
                <w:rFonts w:ascii="Calibri" w:hAnsi="Calibri"/>
                <w:color w:val="243447"/>
                <w:sz w:val="18"/>
              </w:rPr>
              <w:t>Improve adoption</w:t>
            </w:r>
          </w:p>
        </w:tc>
        <w:tc>
          <w:tcPr>
            <w:tcW w:type="dxa" w:w="6810"/>
            <w:vAlign w:val="center"/>
            <w:tcMar>
              <w:top w:w="80" w:type="dxa"/>
              <w:start w:w="120" w:type="dxa"/>
              <w:bottom w:w="80" w:type="dxa"/>
              <w:end w:w="120" w:type="dxa"/>
            </w:tcMar>
          </w:tcPr>
          <w:p>
            <w:pPr>
              <w:spacing w:after="0" w:line="240" w:lineRule="auto"/>
            </w:pPr>
            <w:r>
              <w:rPr>
                <w:rFonts w:ascii="Calibri" w:hAnsi="Calibri"/>
                <w:color w:val="243447"/>
                <w:sz w:val="18"/>
              </w:rPr>
              <w:t>Make the finder available as a dedicated entry point in mobile app navigation.</w:t>
            </w:r>
          </w:p>
        </w:tc>
      </w:tr>
    </w:tbl>
    <w:p>
      <w:pPr>
        <w:spacing w:after="20"/>
      </w:pPr>
    </w:p>
    <w:p>
      <w:pPr>
        <w:pStyle w:val="Heading1"/>
        <w:keepNext/>
        <w:keepLines/>
      </w:pPr>
      <w:r>
        <w:t>4. Stakeholders and users</w:t>
      </w: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vAlign w:val="center"/>
            <w:tcMar>
              <w:top w:w="80" w:type="dxa"/>
              <w:start w:w="120" w:type="dxa"/>
              <w:bottom w:w="80" w:type="dxa"/>
              <w:end w:w="120" w:type="dxa"/>
            </w:tcMar>
            <w:shd w:fill="F2F4F7"/>
          </w:tcPr>
          <w:p>
            <w:pPr>
              <w:spacing w:after="0" w:line="240" w:lineRule="auto"/>
            </w:pPr>
            <w:r>
              <w:rPr>
                <w:rFonts w:ascii="Calibri" w:hAnsi="Calibri"/>
                <w:b/>
                <w:color w:val="1F4D78"/>
                <w:sz w:val="18"/>
              </w:rPr>
              <w:t>Stakeholder</w:t>
            </w:r>
          </w:p>
        </w:tc>
        <w:tc>
          <w:tcPr>
            <w:tcW w:type="dxa" w:w="6560"/>
            <w:vAlign w:val="center"/>
            <w:tcMar>
              <w:top w:w="80" w:type="dxa"/>
              <w:start w:w="120" w:type="dxa"/>
              <w:bottom w:w="80" w:type="dxa"/>
              <w:end w:w="120" w:type="dxa"/>
            </w:tcMar>
            <w:shd w:fill="F2F4F7"/>
          </w:tcPr>
          <w:p>
            <w:pPr>
              <w:spacing w:after="0" w:line="240" w:lineRule="auto"/>
            </w:pPr>
            <w:r>
              <w:rPr>
                <w:rFonts w:ascii="Calibri" w:hAnsi="Calibri"/>
                <w:b/>
                <w:color w:val="1F4D78"/>
                <w:sz w:val="18"/>
              </w:rPr>
              <w:t>Interest / responsibility</w:t>
            </w:r>
          </w:p>
        </w:tc>
      </w:tr>
      <w:tr>
        <w:tc>
          <w:tcPr>
            <w:tcW w:type="dxa" w:w="2800"/>
            <w:vAlign w:val="center"/>
            <w:tcMar>
              <w:top w:w="80" w:type="dxa"/>
              <w:start w:w="120" w:type="dxa"/>
              <w:bottom w:w="80" w:type="dxa"/>
              <w:end w:w="120" w:type="dxa"/>
            </w:tcMar>
          </w:tcPr>
          <w:p>
            <w:pPr>
              <w:spacing w:after="0" w:line="240" w:lineRule="auto"/>
            </w:pPr>
            <w:r>
              <w:rPr>
                <w:rFonts w:ascii="Calibri" w:hAnsi="Calibri"/>
                <w:color w:val="243447"/>
                <w:sz w:val="18"/>
              </w:rPr>
              <w:t>Field Service Engineer (FSE)</w:t>
            </w:r>
          </w:p>
        </w:tc>
        <w:tc>
          <w:tcPr>
            <w:tcW w:type="dxa" w:w="6560"/>
            <w:vAlign w:val="center"/>
            <w:tcMar>
              <w:top w:w="80" w:type="dxa"/>
              <w:start w:w="120" w:type="dxa"/>
              <w:bottom w:w="80" w:type="dxa"/>
              <w:end w:w="120" w:type="dxa"/>
            </w:tcMar>
          </w:tcPr>
          <w:p>
            <w:pPr>
              <w:spacing w:after="0" w:line="240" w:lineRule="auto"/>
            </w:pPr>
            <w:r>
              <w:rPr>
                <w:rFonts w:ascii="Calibri" w:hAnsi="Calibri"/>
                <w:color w:val="243447"/>
                <w:sz w:val="18"/>
              </w:rPr>
              <w:t>Primary user; identifies the onsite Asset and opens the correct active Work Order.</w:t>
            </w:r>
          </w:p>
        </w:tc>
      </w:tr>
      <w:tr>
        <w:tc>
          <w:tcPr>
            <w:tcW w:type="dxa" w:w="2800"/>
            <w:vAlign w:val="center"/>
            <w:tcMar>
              <w:top w:w="80" w:type="dxa"/>
              <w:start w:w="120" w:type="dxa"/>
              <w:bottom w:w="80" w:type="dxa"/>
              <w:end w:w="120" w:type="dxa"/>
            </w:tcMar>
          </w:tcPr>
          <w:p>
            <w:pPr>
              <w:spacing w:after="0" w:line="240" w:lineRule="auto"/>
            </w:pPr>
            <w:r>
              <w:rPr>
                <w:rFonts w:ascii="Calibri" w:hAnsi="Calibri"/>
                <w:color w:val="243447"/>
                <w:sz w:val="18"/>
              </w:rPr>
              <w:t>Field Service Operations</w:t>
            </w:r>
          </w:p>
        </w:tc>
        <w:tc>
          <w:tcPr>
            <w:tcW w:type="dxa" w:w="6560"/>
            <w:vAlign w:val="center"/>
            <w:tcMar>
              <w:top w:w="80" w:type="dxa"/>
              <w:start w:w="120" w:type="dxa"/>
              <w:bottom w:w="80" w:type="dxa"/>
              <w:end w:w="120" w:type="dxa"/>
            </w:tcMar>
          </w:tcPr>
          <w:p>
            <w:pPr>
              <w:spacing w:after="0" w:line="240" w:lineRule="auto"/>
            </w:pPr>
            <w:r>
              <w:rPr>
                <w:rFonts w:ascii="Calibri" w:hAnsi="Calibri"/>
                <w:color w:val="243447"/>
                <w:sz w:val="18"/>
              </w:rPr>
              <w:t>Owns the business process, adoption expectations, and field success measures.</w:t>
            </w:r>
          </w:p>
        </w:tc>
      </w:tr>
      <w:tr>
        <w:tc>
          <w:tcPr>
            <w:tcW w:type="dxa" w:w="2800"/>
            <w:vAlign w:val="center"/>
            <w:tcMar>
              <w:top w:w="80" w:type="dxa"/>
              <w:start w:w="120" w:type="dxa"/>
              <w:bottom w:w="80" w:type="dxa"/>
              <w:end w:w="120" w:type="dxa"/>
            </w:tcMar>
          </w:tcPr>
          <w:p>
            <w:pPr>
              <w:spacing w:after="0" w:line="240" w:lineRule="auto"/>
            </w:pPr>
            <w:r>
              <w:rPr>
                <w:rFonts w:ascii="Calibri" w:hAnsi="Calibri"/>
                <w:color w:val="243447"/>
                <w:sz w:val="18"/>
              </w:rPr>
              <w:t>Dispatch / Service Coordination</w:t>
            </w:r>
          </w:p>
        </w:tc>
        <w:tc>
          <w:tcPr>
            <w:tcW w:type="dxa" w:w="6560"/>
            <w:vAlign w:val="center"/>
            <w:tcMar>
              <w:top w:w="80" w:type="dxa"/>
              <w:start w:w="120" w:type="dxa"/>
              <w:bottom w:w="80" w:type="dxa"/>
              <w:end w:w="120" w:type="dxa"/>
            </w:tcMar>
          </w:tcPr>
          <w:p>
            <w:pPr>
              <w:spacing w:after="0" w:line="240" w:lineRule="auto"/>
            </w:pPr>
            <w:r>
              <w:rPr>
                <w:rFonts w:ascii="Calibri" w:hAnsi="Calibri"/>
                <w:color w:val="243447"/>
                <w:sz w:val="18"/>
              </w:rPr>
              <w:t>Requires accurate Asset-to-Work Order relationships and may support exception handling.</w:t>
            </w:r>
          </w:p>
        </w:tc>
      </w:tr>
      <w:tr>
        <w:tc>
          <w:tcPr>
            <w:tcW w:type="dxa" w:w="2800"/>
            <w:vAlign w:val="center"/>
            <w:tcMar>
              <w:top w:w="80" w:type="dxa"/>
              <w:start w:w="120" w:type="dxa"/>
              <w:bottom w:w="80" w:type="dxa"/>
              <w:end w:w="120" w:type="dxa"/>
            </w:tcMar>
          </w:tcPr>
          <w:p>
            <w:pPr>
              <w:spacing w:after="0" w:line="240" w:lineRule="auto"/>
            </w:pPr>
            <w:r>
              <w:rPr>
                <w:rFonts w:ascii="Calibri" w:hAnsi="Calibri"/>
                <w:color w:val="243447"/>
                <w:sz w:val="18"/>
              </w:rPr>
              <w:t>Installed Base / Asset Data Owner</w:t>
            </w:r>
          </w:p>
        </w:tc>
        <w:tc>
          <w:tcPr>
            <w:tcW w:type="dxa" w:w="6560"/>
            <w:vAlign w:val="center"/>
            <w:tcMar>
              <w:top w:w="80" w:type="dxa"/>
              <w:start w:w="120" w:type="dxa"/>
              <w:bottom w:w="80" w:type="dxa"/>
              <w:end w:w="120" w:type="dxa"/>
            </w:tcMar>
          </w:tcPr>
          <w:p>
            <w:pPr>
              <w:spacing w:after="0" w:line="240" w:lineRule="auto"/>
            </w:pPr>
            <w:r>
              <w:rPr>
                <w:rFonts w:ascii="Calibri" w:hAnsi="Calibri"/>
                <w:color w:val="243447"/>
                <w:sz w:val="18"/>
              </w:rPr>
              <w:t>Maintains Asset identifiers, serial numbers, product, account, and location quality.</w:t>
            </w:r>
          </w:p>
        </w:tc>
      </w:tr>
      <w:tr>
        <w:tc>
          <w:tcPr>
            <w:tcW w:type="dxa" w:w="2800"/>
            <w:vAlign w:val="center"/>
            <w:tcMar>
              <w:top w:w="80" w:type="dxa"/>
              <w:start w:w="120" w:type="dxa"/>
              <w:bottom w:w="80" w:type="dxa"/>
              <w:end w:w="120" w:type="dxa"/>
            </w:tcMar>
          </w:tcPr>
          <w:p>
            <w:pPr>
              <w:spacing w:after="0" w:line="240" w:lineRule="auto"/>
            </w:pPr>
            <w:r>
              <w:rPr>
                <w:rFonts w:ascii="Calibri" w:hAnsi="Calibri"/>
                <w:color w:val="243447"/>
                <w:sz w:val="18"/>
              </w:rPr>
              <w:t>Salesforce Product Owner / Administrator</w:t>
            </w:r>
          </w:p>
        </w:tc>
        <w:tc>
          <w:tcPr>
            <w:tcW w:type="dxa" w:w="6560"/>
            <w:vAlign w:val="center"/>
            <w:tcMar>
              <w:top w:w="80" w:type="dxa"/>
              <w:start w:w="120" w:type="dxa"/>
              <w:bottom w:w="80" w:type="dxa"/>
              <w:end w:w="120" w:type="dxa"/>
            </w:tcMar>
          </w:tcPr>
          <w:p>
            <w:pPr>
              <w:spacing w:after="0" w:line="240" w:lineRule="auto"/>
            </w:pPr>
            <w:r>
              <w:rPr>
                <w:rFonts w:ascii="Calibri" w:hAnsi="Calibri"/>
                <w:color w:val="243447"/>
                <w:sz w:val="18"/>
              </w:rPr>
              <w:t>Owns configuration, permission assignment, mobile placement, and support.</w:t>
            </w:r>
          </w:p>
        </w:tc>
      </w:tr>
      <w:tr>
        <w:tc>
          <w:tcPr>
            <w:tcW w:type="dxa" w:w="2800"/>
            <w:vAlign w:val="center"/>
            <w:tcMar>
              <w:top w:w="80" w:type="dxa"/>
              <w:start w:w="120" w:type="dxa"/>
              <w:bottom w:w="80" w:type="dxa"/>
              <w:end w:w="120" w:type="dxa"/>
            </w:tcMar>
          </w:tcPr>
          <w:p>
            <w:pPr>
              <w:spacing w:after="0" w:line="240" w:lineRule="auto"/>
            </w:pPr>
            <w:r>
              <w:rPr>
                <w:rFonts w:ascii="Calibri" w:hAnsi="Calibri"/>
                <w:color w:val="243447"/>
                <w:sz w:val="18"/>
              </w:rPr>
              <w:t>Information Security and Privacy</w:t>
            </w:r>
          </w:p>
        </w:tc>
        <w:tc>
          <w:tcPr>
            <w:tcW w:type="dxa" w:w="6560"/>
            <w:vAlign w:val="center"/>
            <w:tcMar>
              <w:top w:w="80" w:type="dxa"/>
              <w:start w:w="120" w:type="dxa"/>
              <w:bottom w:w="80" w:type="dxa"/>
              <w:end w:w="120" w:type="dxa"/>
            </w:tcMar>
          </w:tcPr>
          <w:p>
            <w:pPr>
              <w:spacing w:after="0" w:line="240" w:lineRule="auto"/>
            </w:pPr>
            <w:r>
              <w:rPr>
                <w:rFonts w:ascii="Calibri" w:hAnsi="Calibri"/>
                <w:color w:val="243447"/>
                <w:sz w:val="18"/>
              </w:rPr>
              <w:t>Reviews camera use, data access, image handling, and approved recognition services.</w:t>
            </w:r>
          </w:p>
        </w:tc>
      </w:tr>
      <w:tr>
        <w:tc>
          <w:tcPr>
            <w:tcW w:type="dxa" w:w="2800"/>
            <w:vAlign w:val="center"/>
            <w:tcMar>
              <w:top w:w="80" w:type="dxa"/>
              <w:start w:w="120" w:type="dxa"/>
              <w:bottom w:w="80" w:type="dxa"/>
              <w:end w:w="120" w:type="dxa"/>
            </w:tcMar>
          </w:tcPr>
          <w:p>
            <w:pPr>
              <w:spacing w:after="0" w:line="240" w:lineRule="auto"/>
            </w:pPr>
            <w:r>
              <w:rPr>
                <w:rFonts w:ascii="Calibri" w:hAnsi="Calibri"/>
                <w:color w:val="243447"/>
                <w:sz w:val="18"/>
              </w:rPr>
              <w:t>Service Leadership</w:t>
            </w:r>
          </w:p>
        </w:tc>
        <w:tc>
          <w:tcPr>
            <w:tcW w:type="dxa" w:w="6560"/>
            <w:vAlign w:val="center"/>
            <w:tcMar>
              <w:top w:w="80" w:type="dxa"/>
              <w:start w:w="120" w:type="dxa"/>
              <w:bottom w:w="80" w:type="dxa"/>
              <w:end w:w="120" w:type="dxa"/>
            </w:tcMar>
          </w:tcPr>
          <w:p>
            <w:pPr>
              <w:spacing w:after="0" w:line="240" w:lineRule="auto"/>
            </w:pPr>
            <w:r>
              <w:rPr>
                <w:rFonts w:ascii="Calibri" w:hAnsi="Calibri"/>
                <w:color w:val="243447"/>
                <w:sz w:val="18"/>
              </w:rPr>
              <w:t>Reviews productivity, data quality, adoption, and service outcome measures.</w:t>
            </w:r>
          </w:p>
        </w:tc>
      </w:tr>
    </w:tbl>
    <w:p>
      <w:pPr>
        <w:spacing w:after="20"/>
      </w:pPr>
    </w:p>
    <w:p>
      <w:pPr>
        <w:pStyle w:val="Heading1"/>
        <w:keepNext/>
        <w:keepLines/>
      </w:pPr>
      <w:r>
        <w:t>5. Scope</w:t>
      </w:r>
    </w:p>
    <w:p>
      <w:pPr>
        <w:pStyle w:val="Heading2"/>
        <w:keepNext/>
        <w:keepLines/>
      </w:pPr>
      <w:r>
        <w:t>5.1 In scope</w:t>
      </w:r>
    </w:p>
    <w:p>
      <w:pPr>
        <w:numPr>
          <w:ilvl w:val="0"/>
          <w:numId w:val="41"/>
        </w:numPr>
      </w:pPr>
      <w:r>
        <w:rPr>
          <w:rFonts w:ascii="Calibri" w:hAnsi="Calibri"/>
          <w:color w:val="243447"/>
          <w:sz w:val="22"/>
        </w:rPr>
        <w:t>A dedicated Asset Work Order Finder entry in the Salesforce mobile app.</w:t>
      </w:r>
    </w:p>
    <w:p>
      <w:pPr>
        <w:numPr>
          <w:ilvl w:val="0"/>
          <w:numId w:val="41"/>
        </w:numPr>
      </w:pPr>
      <w:r>
        <w:rPr>
          <w:rFonts w:ascii="Calibri" w:hAnsi="Calibri"/>
          <w:color w:val="243447"/>
          <w:sz w:val="22"/>
        </w:rPr>
        <w:t>Scanning a QR value from the equipment label.</w:t>
      </w:r>
    </w:p>
    <w:p>
      <w:pPr>
        <w:numPr>
          <w:ilvl w:val="0"/>
          <w:numId w:val="41"/>
        </w:numPr>
      </w:pPr>
      <w:r>
        <w:rPr>
          <w:rFonts w:ascii="Calibri" w:hAnsi="Calibri"/>
          <w:color w:val="243447"/>
          <w:sz w:val="22"/>
        </w:rPr>
        <w:t>Matching the scanned value to the unique Salesforce Asset QR identifier.</w:t>
      </w:r>
    </w:p>
    <w:p>
      <w:pPr>
        <w:numPr>
          <w:ilvl w:val="0"/>
          <w:numId w:val="41"/>
        </w:numPr>
      </w:pPr>
      <w:r>
        <w:rPr>
          <w:rFonts w:ascii="Calibri" w:hAnsi="Calibri"/>
          <w:color w:val="243447"/>
          <w:sz w:val="22"/>
        </w:rPr>
        <w:t>Using mobile camera/OCR to suggest a serial number from an Asset nameplate.</w:t>
      </w:r>
    </w:p>
    <w:p>
      <w:pPr>
        <w:numPr>
          <w:ilvl w:val="0"/>
          <w:numId w:val="41"/>
        </w:numPr>
      </w:pPr>
      <w:r>
        <w:rPr>
          <w:rFonts w:ascii="Calibri" w:hAnsi="Calibri"/>
          <w:color w:val="243447"/>
          <w:sz w:val="22"/>
        </w:rPr>
        <w:t>Requiring the FSE to verify or correct nameplate text and explicitly confirm an Asset candidate.</w:t>
      </w:r>
    </w:p>
    <w:p>
      <w:pPr>
        <w:numPr>
          <w:ilvl w:val="0"/>
          <w:numId w:val="41"/>
        </w:numPr>
      </w:pPr>
      <w:r>
        <w:rPr>
          <w:rFonts w:ascii="Calibri" w:hAnsi="Calibri"/>
          <w:color w:val="243447"/>
          <w:sz w:val="22"/>
        </w:rPr>
        <w:t>Displaying the confirmed Asset and its related Work Orders that are not closed.</w:t>
      </w:r>
    </w:p>
    <w:p>
      <w:pPr>
        <w:numPr>
          <w:ilvl w:val="0"/>
          <w:numId w:val="41"/>
        </w:numPr>
      </w:pPr>
      <w:r>
        <w:rPr>
          <w:rFonts w:ascii="Calibri" w:hAnsi="Calibri"/>
          <w:color w:val="243447"/>
          <w:sz w:val="22"/>
        </w:rPr>
        <w:t>Opening the selected Asset or Work Order record in Salesforce mobile.</w:t>
      </w:r>
    </w:p>
    <w:p>
      <w:pPr>
        <w:numPr>
          <w:ilvl w:val="0"/>
          <w:numId w:val="41"/>
        </w:numPr>
      </w:pPr>
      <w:r>
        <w:rPr>
          <w:rFonts w:ascii="Calibri" w:hAnsi="Calibri"/>
          <w:color w:val="243447"/>
          <w:sz w:val="22"/>
        </w:rPr>
        <w:t>Manual QR or serial entry when camera services are unavailable.</w:t>
      </w:r>
    </w:p>
    <w:p>
      <w:pPr>
        <w:numPr>
          <w:ilvl w:val="0"/>
          <w:numId w:val="41"/>
        </w:numPr>
      </w:pPr>
      <w:r>
        <w:rPr>
          <w:rFonts w:ascii="Calibri" w:hAnsi="Calibri"/>
          <w:color w:val="243447"/>
          <w:sz w:val="22"/>
        </w:rPr>
        <w:t>Read-only access through a dedicated FSE permission set.</w:t>
      </w:r>
    </w:p>
    <w:p>
      <w:pPr>
        <w:pStyle w:val="Heading2"/>
        <w:keepNext/>
        <w:keepLines/>
      </w:pPr>
      <w:r>
        <w:t>5.2 Out of scope</w:t>
      </w:r>
    </w:p>
    <w:p>
      <w:pPr>
        <w:numPr>
          <w:ilvl w:val="0"/>
          <w:numId w:val="41"/>
        </w:numPr>
      </w:pPr>
      <w:r>
        <w:rPr>
          <w:rFonts w:ascii="Calibri" w:hAnsi="Calibri"/>
          <w:color w:val="243447"/>
          <w:sz w:val="22"/>
        </w:rPr>
        <w:t>Creating, editing, closing, assigning, or dispatching Work Orders from the finder.</w:t>
      </w:r>
    </w:p>
    <w:p>
      <w:pPr>
        <w:numPr>
          <w:ilvl w:val="0"/>
          <w:numId w:val="41"/>
        </w:numPr>
      </w:pPr>
      <w:r>
        <w:rPr>
          <w:rFonts w:ascii="Calibri" w:hAnsi="Calibri"/>
          <w:color w:val="243447"/>
          <w:sz w:val="22"/>
        </w:rPr>
        <w:t>Automatically relocating, updating, or merging Asset records.</w:t>
      </w:r>
    </w:p>
    <w:p>
      <w:pPr>
        <w:numPr>
          <w:ilvl w:val="0"/>
          <w:numId w:val="41"/>
        </w:numPr>
      </w:pPr>
      <w:r>
        <w:rPr>
          <w:rFonts w:ascii="Calibri" w:hAnsi="Calibri"/>
          <w:color w:val="243447"/>
          <w:sz w:val="22"/>
        </w:rPr>
        <w:t>Automatically selecting an Asset based only on visual similarity, model name, or low-confidence OCR.</w:t>
      </w:r>
    </w:p>
    <w:p>
      <w:pPr>
        <w:numPr>
          <w:ilvl w:val="0"/>
          <w:numId w:val="41"/>
        </w:numPr>
      </w:pPr>
      <w:r>
        <w:rPr>
          <w:rFonts w:ascii="Calibri" w:hAnsi="Calibri"/>
          <w:color w:val="243447"/>
          <w:sz w:val="22"/>
        </w:rPr>
        <w:t>Generating or physically applying QR labels as part of this release.</w:t>
      </w:r>
    </w:p>
    <w:p>
      <w:pPr>
        <w:numPr>
          <w:ilvl w:val="0"/>
          <w:numId w:val="41"/>
        </w:numPr>
      </w:pPr>
      <w:r>
        <w:rPr>
          <w:rFonts w:ascii="Calibri" w:hAnsi="Calibri"/>
          <w:color w:val="243447"/>
          <w:sz w:val="22"/>
        </w:rPr>
        <w:t>Guaranteed offline lookup when Salesforce data is unavailable on the device.</w:t>
      </w:r>
    </w:p>
    <w:p>
      <w:pPr>
        <w:numPr>
          <w:ilvl w:val="0"/>
          <w:numId w:val="41"/>
        </w:numPr>
      </w:pPr>
      <w:r>
        <w:rPr>
          <w:rFonts w:ascii="Calibri" w:hAnsi="Calibri"/>
          <w:color w:val="243447"/>
          <w:sz w:val="22"/>
        </w:rPr>
        <w:t>Storing nameplate photos in Salesforce or establishing an enterprise image-retention process.</w:t>
      </w:r>
    </w:p>
    <w:p>
      <w:pPr>
        <w:numPr>
          <w:ilvl w:val="0"/>
          <w:numId w:val="41"/>
        </w:numPr>
      </w:pPr>
      <w:r>
        <w:rPr>
          <w:rFonts w:ascii="Calibri" w:hAnsi="Calibri"/>
          <w:color w:val="243447"/>
          <w:sz w:val="22"/>
        </w:rPr>
        <w:t>Production integration with an external image-recognition provider beyond approved future enhancement work.</w:t>
      </w:r>
    </w:p>
    <w:p>
      <w:pPr>
        <w:pStyle w:val="Heading1"/>
        <w:keepNext/>
        <w:keepLines/>
      </w:pPr>
      <w:r>
        <w:t>6. Future-state user journey</w:t>
      </w:r>
    </w:p>
    <w:p>
      <w:pPr>
        <w:numPr>
          <w:ilvl w:val="0"/>
          <w:numId w:val="42"/>
        </w:numPr>
      </w:pPr>
      <w:r>
        <w:rPr>
          <w:rFonts w:ascii="Calibri" w:hAnsi="Calibri"/>
          <w:color w:val="243447"/>
          <w:sz w:val="22"/>
        </w:rPr>
        <w:t>The FSE arrives onsite, signs in to the Salesforce mobile app, and opens Asset Work Order Finder.</w:t>
      </w:r>
    </w:p>
    <w:p>
      <w:pPr>
        <w:numPr>
          <w:ilvl w:val="0"/>
          <w:numId w:val="42"/>
        </w:numPr>
      </w:pPr>
      <w:r>
        <w:rPr>
          <w:rFonts w:ascii="Calibri" w:hAnsi="Calibri"/>
          <w:color w:val="243447"/>
          <w:sz w:val="22"/>
        </w:rPr>
        <w:t>The FSE scans the equipment QR code. If the QR cannot be read, the FSE may use the nameplate camera/OCR or enter an identifier manually.</w:t>
      </w:r>
    </w:p>
    <w:p>
      <w:pPr>
        <w:numPr>
          <w:ilvl w:val="0"/>
          <w:numId w:val="42"/>
        </w:numPr>
      </w:pPr>
      <w:r>
        <w:rPr>
          <w:rFonts w:ascii="Calibri" w:hAnsi="Calibri"/>
          <w:color w:val="243447"/>
          <w:sz w:val="22"/>
        </w:rPr>
        <w:t>Salesforce resolves the identifier to an accessible Asset. Camera/OCR output is presented as a suggested serial number that the FSE verifies or corrects.</w:t>
      </w:r>
    </w:p>
    <w:p>
      <w:pPr>
        <w:numPr>
          <w:ilvl w:val="0"/>
          <w:numId w:val="42"/>
        </w:numPr>
      </w:pPr>
      <w:r>
        <w:rPr>
          <w:rFonts w:ascii="Calibri" w:hAnsi="Calibri"/>
          <w:color w:val="243447"/>
          <w:sz w:val="22"/>
        </w:rPr>
        <w:t>When more than one Asset matches a serial number, the FSE selects and confirms the candidate using Asset, product, serial, and location context.</w:t>
      </w:r>
    </w:p>
    <w:p>
      <w:pPr>
        <w:numPr>
          <w:ilvl w:val="0"/>
          <w:numId w:val="42"/>
        </w:numPr>
      </w:pPr>
      <w:r>
        <w:rPr>
          <w:rFonts w:ascii="Calibri" w:hAnsi="Calibri"/>
          <w:color w:val="243447"/>
          <w:sz w:val="22"/>
        </w:rPr>
        <w:t>Salesforce displays open Work Orders related to the confirmed Asset. Closed Work Orders are excluded.</w:t>
      </w:r>
    </w:p>
    <w:p>
      <w:pPr>
        <w:numPr>
          <w:ilvl w:val="0"/>
          <w:numId w:val="42"/>
        </w:numPr>
      </w:pPr>
      <w:r>
        <w:rPr>
          <w:rFonts w:ascii="Calibri" w:hAnsi="Calibri"/>
          <w:color w:val="243447"/>
          <w:sz w:val="22"/>
        </w:rPr>
        <w:t>The FSE selects the appropriate Work Order and opens its Salesforce mobile record page.</w:t>
      </w:r>
    </w:p>
    <w:p>
      <w:pPr>
        <w:numPr>
          <w:ilvl w:val="0"/>
          <w:numId w:val="42"/>
        </w:numPr>
      </w:pPr>
      <w:r>
        <w:rPr>
          <w:rFonts w:ascii="Calibri" w:hAnsi="Calibri"/>
          <w:color w:val="243447"/>
          <w:sz w:val="22"/>
        </w:rPr>
        <w:t>If no open Work Order exists, the app retains the Asset context and clearly explains that no open work was found.</w:t>
      </w:r>
    </w:p>
    <w:p>
      <w:pPr>
        <w:pStyle w:val="Heading1"/>
        <w:keepNext/>
        <w:keepLines/>
      </w:pPr>
      <w:r>
        <w:t>7. Business requirements</w:t>
      </w:r>
    </w:p>
    <w:tbl>
      <w:tblPr>
        <w:tblStyle w:val="TableGrid"/>
        <w:tblW w:type="dxa" w:w="9360"/>
        <w:tblLayout w:type="fixed"/>
        <w:tblLook w:firstColumn="1" w:firstRow="1" w:lastColumn="0" w:lastRow="0" w:noHBand="0" w:noVBand="1" w:val="04A0"/>
        <w:jc w:val="left"/>
        <w:tblInd w:w="120" w:type="dxa"/>
      </w:tblPr>
      <w:tblGrid>
        <w:gridCol w:w="1050"/>
        <w:gridCol w:w="1100"/>
        <w:gridCol w:w="7210"/>
      </w:tblGrid>
      <w:tr>
        <w:trPr>
          <w:tblHeader w:val="true"/>
        </w:trPr>
        <w:tc>
          <w:tcPr>
            <w:tcW w:type="dxa" w:w="1050"/>
            <w:vAlign w:val="center"/>
            <w:tcMar>
              <w:top w:w="80" w:type="dxa"/>
              <w:start w:w="120" w:type="dxa"/>
              <w:bottom w:w="80" w:type="dxa"/>
              <w:end w:w="120" w:type="dxa"/>
            </w:tcMar>
            <w:shd w:fill="F2F4F7"/>
          </w:tcPr>
          <w:p>
            <w:pPr>
              <w:spacing w:after="0" w:line="240" w:lineRule="auto"/>
            </w:pPr>
            <w:r>
              <w:rPr>
                <w:rFonts w:ascii="Calibri" w:hAnsi="Calibri"/>
                <w:b/>
                <w:color w:val="1F4D78"/>
                <w:sz w:val="17"/>
              </w:rPr>
              <w:t>ID</w:t>
            </w:r>
          </w:p>
        </w:tc>
        <w:tc>
          <w:tcPr>
            <w:tcW w:type="dxa" w:w="1100"/>
            <w:vAlign w:val="center"/>
            <w:tcMar>
              <w:top w:w="80" w:type="dxa"/>
              <w:start w:w="120" w:type="dxa"/>
              <w:bottom w:w="80" w:type="dxa"/>
              <w:end w:w="120" w:type="dxa"/>
            </w:tcMar>
            <w:shd w:fill="F2F4F7"/>
          </w:tcPr>
          <w:p>
            <w:pPr>
              <w:spacing w:after="0" w:line="240" w:lineRule="auto"/>
            </w:pPr>
            <w:r>
              <w:rPr>
                <w:rFonts w:ascii="Calibri" w:hAnsi="Calibri"/>
                <w:b/>
                <w:color w:val="1F4D78"/>
                <w:sz w:val="17"/>
              </w:rPr>
              <w:t>Priority</w:t>
            </w:r>
          </w:p>
        </w:tc>
        <w:tc>
          <w:tcPr>
            <w:tcW w:type="dxa" w:w="7210"/>
            <w:vAlign w:val="center"/>
            <w:tcMar>
              <w:top w:w="80" w:type="dxa"/>
              <w:start w:w="120" w:type="dxa"/>
              <w:bottom w:w="80" w:type="dxa"/>
              <w:end w:w="120" w:type="dxa"/>
            </w:tcMar>
            <w:shd w:fill="F2F4F7"/>
          </w:tcPr>
          <w:p>
            <w:pPr>
              <w:spacing w:after="0" w:line="240" w:lineRule="auto"/>
            </w:pPr>
            <w:r>
              <w:rPr>
                <w:rFonts w:ascii="Calibri" w:hAnsi="Calibri"/>
                <w:b/>
                <w:color w:val="1F4D78"/>
                <w:sz w:val="17"/>
              </w:rPr>
              <w:t>Requirement</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BR-001</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FSE must be able to open the finder from Salesforce mobile navigation.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BR-002</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FSE must be able to scan a QR code using the mobile device camera.</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BR-003</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scanned QR value must match the dedicated Asset QR identifier using a trimmed, case-insensitive exact comparison.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BR-004</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A QR value must resolve to no more than one accessible Asset; duplicate or ambiguous results must stop the process.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BR-005</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FSE must receive a clear message when a QR value is blank, invalid, too long, unknown, or inaccessible.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BR-006</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FSE must be able to use the device camera to read text from an Asset nameplate when the QR path is unavailable.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BR-007</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Camera/OCR output must be treated as a suggestion that the FSE can verify or correct before searching.</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BR-008</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FSE must explicitly confirm an Asset when a serial number returns one or more candidates.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BR-009</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finder must display the identified Asset name, serial number, product, and location when available.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BR-010</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finder must display only Work Orders related to the confirmed Asset where the Salesforce closed indicator is false.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BR-011</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When several open Work Orders exist, all accessible results up to the supported limit must be displayed for FSE selection.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BR-012</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FSE must be able to open a selected Work Order in its Salesforce mobile record page.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BR-013</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finder must clearly state when the confirmed Asset has no open Work Orders and must not substitute a closed Work Order.</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BR-014</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FSE must be able to enter a QR code or serial number manually when camera capabilities are unavailable.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BR-015</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All Asset and Work Order results must respect the user's Salesforce record sharing, object permissions, and field access.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BR-016</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finder must not create, edit, or delete Asset or Work Order records.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BR-017</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Must</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Nameplate images must be processed transiently and must not be retained by this capability.</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BR-018</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Should</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Open Work Orders should be presented in a deterministic sequence that favors scheduled work, followed by recently created work.</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BR-019</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Should</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finder should provide actionable messages for denied camera permission, scanner cancellation, unsupported devices, and connection errors.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BR-020</w:t>
            </w:r>
          </w:p>
        </w:tc>
        <w:tc>
          <w:tcPr>
            <w:tcW w:type="dxa" w:w="1100"/>
            <w:vAlign w:val="center"/>
            <w:tcMar>
              <w:top w:w="80" w:type="dxa"/>
              <w:start w:w="120" w:type="dxa"/>
              <w:bottom w:w="80" w:type="dxa"/>
              <w:end w:w="120" w:type="dxa"/>
            </w:tcMar>
          </w:tcPr>
          <w:p>
            <w:pPr>
              <w:spacing w:after="0" w:line="240" w:lineRule="auto"/>
            </w:pPr>
            <w:r>
              <w:rPr>
                <w:rFonts w:ascii="Calibri" w:hAnsi="Calibri"/>
                <w:color w:val="243447"/>
                <w:sz w:val="17"/>
              </w:rPr>
              <w:t>Should</w:t>
            </w:r>
          </w:p>
        </w:tc>
        <w:tc>
          <w:tcPr>
            <w:tcW w:type="dxa" w:w="7210"/>
            <w:vAlign w:val="center"/>
            <w:tcMar>
              <w:top w:w="80" w:type="dxa"/>
              <w:start w:w="120" w:type="dxa"/>
              <w:bottom w:w="80" w:type="dxa"/>
              <w:end w:w="120" w:type="dxa"/>
            </w:tcMar>
          </w:tcPr>
          <w:p>
            <w:pPr>
              <w:spacing w:after="0" w:line="240" w:lineRule="auto"/>
            </w:pPr>
            <w:r>
              <w:rPr>
                <w:rFonts w:ascii="Calibri" w:hAnsi="Calibri"/>
                <w:color w:val="243447"/>
                <w:sz w:val="17"/>
              </w:rPr>
              <w:t>The business should be able to measure adoption, lookup success, and key data-quality exceptions without retaining sensitive image content.</w:t>
            </w:r>
          </w:p>
        </w:tc>
      </w:tr>
    </w:tbl>
    <w:p>
      <w:pPr>
        <w:spacing w:after="20"/>
      </w:pPr>
    </w:p>
    <w:p>
      <w:pPr>
        <w:pStyle w:val="Heading1"/>
        <w:keepNext/>
        <w:keepLines/>
      </w:pPr>
      <w:r>
        <w:t>8. Business rules</w:t>
      </w:r>
    </w:p>
    <w:tbl>
      <w:tblPr>
        <w:tblStyle w:val="TableGrid"/>
        <w:tblW w:type="dxa" w:w="9360"/>
        <w:tblLayout w:type="fixed"/>
        <w:tblLook w:firstColumn="1" w:firstRow="1" w:lastColumn="0" w:lastRow="0" w:noHBand="0" w:noVBand="1" w:val="04A0"/>
        <w:jc w:val="left"/>
        <w:tblInd w:w="120" w:type="dxa"/>
      </w:tblPr>
      <w:tblGrid>
        <w:gridCol w:w="1250"/>
        <w:gridCol w:w="8110"/>
      </w:tblGrid>
      <w:tr>
        <w:trPr>
          <w:tblHeader w:val="true"/>
        </w:trPr>
        <w:tc>
          <w:tcPr>
            <w:tcW w:type="dxa" w:w="1250"/>
            <w:vAlign w:val="center"/>
            <w:tcMar>
              <w:top w:w="80" w:type="dxa"/>
              <w:start w:w="120" w:type="dxa"/>
              <w:bottom w:w="80" w:type="dxa"/>
              <w:end w:w="120" w:type="dxa"/>
            </w:tcMar>
            <w:shd w:fill="F2F4F7"/>
          </w:tcPr>
          <w:p>
            <w:pPr>
              <w:spacing w:after="0" w:line="240" w:lineRule="auto"/>
            </w:pPr>
            <w:r>
              <w:rPr>
                <w:rFonts w:ascii="Calibri" w:hAnsi="Calibri"/>
                <w:b/>
                <w:color w:val="1F4D78"/>
                <w:sz w:val="18"/>
              </w:rPr>
              <w:t>Rule</w:t>
            </w:r>
          </w:p>
        </w:tc>
        <w:tc>
          <w:tcPr>
            <w:tcW w:type="dxa" w:w="8110"/>
            <w:vAlign w:val="center"/>
            <w:tcMar>
              <w:top w:w="80" w:type="dxa"/>
              <w:start w:w="120" w:type="dxa"/>
              <w:bottom w:w="80" w:type="dxa"/>
              <w:end w:w="120" w:type="dxa"/>
            </w:tcMar>
            <w:shd w:fill="F2F4F7"/>
          </w:tcPr>
          <w:p>
            <w:pPr>
              <w:spacing w:after="0" w:line="240" w:lineRule="auto"/>
            </w:pPr>
            <w:r>
              <w:rPr>
                <w:rFonts w:ascii="Calibri" w:hAnsi="Calibri"/>
                <w:b/>
                <w:color w:val="1F4D78"/>
                <w:sz w:val="18"/>
              </w:rPr>
              <w:t>Definition</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BRU-01</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An Asset QR identifier is a stable, unique, case-insensitive value and must not contain credentials or personal data.</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BRU-02</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A physical scan is evidence of the equipment in front of the FSE; it is not authority to change Asset master data.</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BRU-03</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An open Work Order is defined as a Work Order whose Salesforce Is Closed indicator is false.</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BRU-04</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Camera confidence or model similarity alone must never auto-select an Asset or Work Order.</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BRU-05</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If a serial number matches multiple Assets, the user must select and confirm the correct candidate.</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BRU-06</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If the FSE cannot read an Asset or Work Order under Salesforce sharing, the finder must not reveal that record's details.</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BRU-07</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Closed Work Orders are not displayed as alternatives when no open work exists.</w:t>
            </w:r>
          </w:p>
        </w:tc>
      </w:tr>
      <w:tr>
        <w:tc>
          <w:tcPr>
            <w:tcW w:type="dxa" w:w="1250"/>
            <w:vAlign w:val="center"/>
            <w:tcMar>
              <w:top w:w="80" w:type="dxa"/>
              <w:start w:w="120" w:type="dxa"/>
              <w:bottom w:w="80" w:type="dxa"/>
              <w:end w:w="120" w:type="dxa"/>
            </w:tcMar>
          </w:tcPr>
          <w:p>
            <w:pPr>
              <w:spacing w:after="0" w:line="240" w:lineRule="auto"/>
            </w:pPr>
            <w:r>
              <w:rPr>
                <w:rFonts w:ascii="Calibri" w:hAnsi="Calibri"/>
                <w:color w:val="243447"/>
                <w:sz w:val="18"/>
              </w:rPr>
              <w:t>BRU-08</w:t>
            </w:r>
          </w:p>
        </w:tc>
        <w:tc>
          <w:tcPr>
            <w:tcW w:type="dxa" w:w="8110"/>
            <w:vAlign w:val="center"/>
            <w:tcMar>
              <w:top w:w="80" w:type="dxa"/>
              <w:start w:w="120" w:type="dxa"/>
              <w:bottom w:w="80" w:type="dxa"/>
              <w:end w:w="120" w:type="dxa"/>
            </w:tcMar>
          </w:tcPr>
          <w:p>
            <w:pPr>
              <w:spacing w:after="0" w:line="240" w:lineRule="auto"/>
            </w:pPr>
            <w:r>
              <w:rPr>
                <w:rFonts w:ascii="Calibri" w:hAnsi="Calibri"/>
                <w:color w:val="243447"/>
                <w:sz w:val="18"/>
              </w:rPr>
              <w:t>The finder returns no more than 50 open Work Orders for one Asset and indicates when the limit is reached.</w:t>
            </w:r>
          </w:p>
        </w:tc>
      </w:tr>
    </w:tbl>
    <w:p>
      <w:pPr>
        <w:spacing w:after="20"/>
      </w:pPr>
    </w:p>
    <w:p>
      <w:pPr>
        <w:pStyle w:val="Heading1"/>
        <w:keepNext/>
        <w:keepLines/>
      </w:pPr>
      <w:r>
        <w:t>9. Data requirements and governance</w:t>
      </w:r>
    </w:p>
    <w:tbl>
      <w:tblPr>
        <w:tblStyle w:val="TableGrid"/>
        <w:tblW w:type="dxa" w:w="9360"/>
        <w:tblLayout w:type="fixed"/>
        <w:tblLook w:firstColumn="1" w:firstRow="1" w:lastColumn="0" w:lastRow="0" w:noHBand="0" w:noVBand="1" w:val="04A0"/>
        <w:jc w:val="left"/>
        <w:tblInd w:w="120" w:type="dxa"/>
      </w:tblPr>
      <w:tblGrid>
        <w:gridCol w:w="1900"/>
        <w:gridCol w:w="5100"/>
        <w:gridCol w:w="2360"/>
      </w:tblGrid>
      <w:tr>
        <w:trPr>
          <w:tblHeader w:val="true"/>
        </w:trPr>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7"/>
              </w:rPr>
              <w:t>Data element</w:t>
            </w:r>
          </w:p>
        </w:tc>
        <w:tc>
          <w:tcPr>
            <w:tcW w:type="dxa" w:w="5100"/>
            <w:vAlign w:val="center"/>
            <w:tcMar>
              <w:top w:w="80" w:type="dxa"/>
              <w:start w:w="120" w:type="dxa"/>
              <w:bottom w:w="80" w:type="dxa"/>
              <w:end w:w="120" w:type="dxa"/>
            </w:tcMar>
            <w:shd w:fill="F2F4F7"/>
          </w:tcPr>
          <w:p>
            <w:pPr>
              <w:spacing w:after="0" w:line="240" w:lineRule="auto"/>
            </w:pPr>
            <w:r>
              <w:rPr>
                <w:rFonts w:ascii="Calibri" w:hAnsi="Calibri"/>
                <w:b/>
                <w:color w:val="1F4D78"/>
                <w:sz w:val="17"/>
              </w:rPr>
              <w:t>Business expectation</w:t>
            </w:r>
          </w:p>
        </w:tc>
        <w:tc>
          <w:tcPr>
            <w:tcW w:type="dxa" w:w="2360"/>
            <w:vAlign w:val="center"/>
            <w:tcMar>
              <w:top w:w="80" w:type="dxa"/>
              <w:start w:w="120" w:type="dxa"/>
              <w:bottom w:w="80" w:type="dxa"/>
              <w:end w:w="120" w:type="dxa"/>
            </w:tcMar>
            <w:shd w:fill="F2F4F7"/>
          </w:tcPr>
          <w:p>
            <w:pPr>
              <w:spacing w:after="0" w:line="240" w:lineRule="auto"/>
            </w:pPr>
            <w:r>
              <w:rPr>
                <w:rFonts w:ascii="Calibri" w:hAnsi="Calibri"/>
                <w:b/>
                <w:color w:val="1F4D78"/>
                <w:sz w:val="17"/>
              </w:rPr>
              <w:t>Owner</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7"/>
              </w:rPr>
              <w:t>Asset QR identifier</w:t>
            </w:r>
          </w:p>
        </w:tc>
        <w:tc>
          <w:tcPr>
            <w:tcW w:type="dxa" w:w="5100"/>
            <w:vAlign w:val="center"/>
            <w:tcMar>
              <w:top w:w="80" w:type="dxa"/>
              <w:start w:w="120" w:type="dxa"/>
              <w:bottom w:w="80" w:type="dxa"/>
              <w:end w:w="120" w:type="dxa"/>
            </w:tcMar>
          </w:tcPr>
          <w:p>
            <w:pPr>
              <w:spacing w:after="0" w:line="240" w:lineRule="auto"/>
            </w:pPr>
            <w:r>
              <w:rPr>
                <w:rFonts w:ascii="Calibri" w:hAnsi="Calibri"/>
                <w:color w:val="243447"/>
                <w:sz w:val="17"/>
              </w:rPr>
              <w:t>Unique, stable, populated for labelled equipment, and governed through controlled loading or integration.</w:t>
            </w:r>
          </w:p>
        </w:tc>
        <w:tc>
          <w:tcPr>
            <w:tcW w:type="dxa" w:w="2360"/>
            <w:vAlign w:val="center"/>
            <w:tcMar>
              <w:top w:w="80" w:type="dxa"/>
              <w:start w:w="120" w:type="dxa"/>
              <w:bottom w:w="80" w:type="dxa"/>
              <w:end w:w="120" w:type="dxa"/>
            </w:tcMar>
          </w:tcPr>
          <w:p>
            <w:pPr>
              <w:spacing w:after="0" w:line="240" w:lineRule="auto"/>
            </w:pPr>
            <w:r>
              <w:rPr>
                <w:rFonts w:ascii="Calibri" w:hAnsi="Calibri"/>
                <w:color w:val="243447"/>
                <w:sz w:val="17"/>
              </w:rPr>
              <w:t>Installed Base / Data Owner</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7"/>
              </w:rPr>
              <w:t>Asset serial number</w:t>
            </w:r>
          </w:p>
        </w:tc>
        <w:tc>
          <w:tcPr>
            <w:tcW w:type="dxa" w:w="5100"/>
            <w:vAlign w:val="center"/>
            <w:tcMar>
              <w:top w:w="80" w:type="dxa"/>
              <w:start w:w="120" w:type="dxa"/>
              <w:bottom w:w="80" w:type="dxa"/>
              <w:end w:w="120" w:type="dxa"/>
            </w:tcMar>
          </w:tcPr>
          <w:p>
            <w:pPr>
              <w:spacing w:after="0" w:line="240" w:lineRule="auto"/>
            </w:pPr>
            <w:r>
              <w:rPr>
                <w:rFonts w:ascii="Calibri" w:hAnsi="Calibri"/>
                <w:color w:val="243447"/>
                <w:sz w:val="17"/>
              </w:rPr>
              <w:t>Accurate enough to support exact candidate search; duplicate serials require product/location context.</w:t>
            </w:r>
          </w:p>
        </w:tc>
        <w:tc>
          <w:tcPr>
            <w:tcW w:type="dxa" w:w="2360"/>
            <w:vAlign w:val="center"/>
            <w:tcMar>
              <w:top w:w="80" w:type="dxa"/>
              <w:start w:w="120" w:type="dxa"/>
              <w:bottom w:w="80" w:type="dxa"/>
              <w:end w:w="120" w:type="dxa"/>
            </w:tcMar>
          </w:tcPr>
          <w:p>
            <w:pPr>
              <w:spacing w:after="0" w:line="240" w:lineRule="auto"/>
            </w:pPr>
            <w:r>
              <w:rPr>
                <w:rFonts w:ascii="Calibri" w:hAnsi="Calibri"/>
                <w:color w:val="243447"/>
                <w:sz w:val="17"/>
              </w:rPr>
              <w:t>Installed Base / Data Owner</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7"/>
              </w:rPr>
              <w:t>Asset product, account, location</w:t>
            </w:r>
          </w:p>
        </w:tc>
        <w:tc>
          <w:tcPr>
            <w:tcW w:type="dxa" w:w="5100"/>
            <w:vAlign w:val="center"/>
            <w:tcMar>
              <w:top w:w="80" w:type="dxa"/>
              <w:start w:w="120" w:type="dxa"/>
              <w:bottom w:w="80" w:type="dxa"/>
              <w:end w:w="120" w:type="dxa"/>
            </w:tcMar>
          </w:tcPr>
          <w:p>
            <w:pPr>
              <w:spacing w:after="0" w:line="240" w:lineRule="auto"/>
            </w:pPr>
            <w:r>
              <w:rPr>
                <w:rFonts w:ascii="Calibri" w:hAnsi="Calibri"/>
                <w:color w:val="243447"/>
                <w:sz w:val="17"/>
              </w:rPr>
              <w:t>Available where known to help the FSE confirm the physical equipment.</w:t>
            </w:r>
          </w:p>
        </w:tc>
        <w:tc>
          <w:tcPr>
            <w:tcW w:type="dxa" w:w="2360"/>
            <w:vAlign w:val="center"/>
            <w:tcMar>
              <w:top w:w="80" w:type="dxa"/>
              <w:start w:w="120" w:type="dxa"/>
              <w:bottom w:w="80" w:type="dxa"/>
              <w:end w:w="120" w:type="dxa"/>
            </w:tcMar>
          </w:tcPr>
          <w:p>
            <w:pPr>
              <w:spacing w:after="0" w:line="240" w:lineRule="auto"/>
            </w:pPr>
            <w:r>
              <w:rPr>
                <w:rFonts w:ascii="Calibri" w:hAnsi="Calibri"/>
                <w:color w:val="243447"/>
                <w:sz w:val="17"/>
              </w:rPr>
              <w:t>Installed Base / Data Owner</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7"/>
              </w:rPr>
              <w:t>Work Order Asset relationship</w:t>
            </w:r>
          </w:p>
        </w:tc>
        <w:tc>
          <w:tcPr>
            <w:tcW w:type="dxa" w:w="5100"/>
            <w:vAlign w:val="center"/>
            <w:tcMar>
              <w:top w:w="80" w:type="dxa"/>
              <w:start w:w="120" w:type="dxa"/>
              <w:bottom w:w="80" w:type="dxa"/>
              <w:end w:w="120" w:type="dxa"/>
            </w:tcMar>
          </w:tcPr>
          <w:p>
            <w:pPr>
              <w:spacing w:after="0" w:line="240" w:lineRule="auto"/>
            </w:pPr>
            <w:r>
              <w:rPr>
                <w:rFonts w:ascii="Calibri" w:hAnsi="Calibri"/>
                <w:color w:val="243447"/>
                <w:sz w:val="17"/>
              </w:rPr>
              <w:t>Each service record must reference the correct Asset for the finder to return it.</w:t>
            </w:r>
          </w:p>
        </w:tc>
        <w:tc>
          <w:tcPr>
            <w:tcW w:type="dxa" w:w="2360"/>
            <w:vAlign w:val="center"/>
            <w:tcMar>
              <w:top w:w="80" w:type="dxa"/>
              <w:start w:w="120" w:type="dxa"/>
              <w:bottom w:w="80" w:type="dxa"/>
              <w:end w:w="120" w:type="dxa"/>
            </w:tcMar>
          </w:tcPr>
          <w:p>
            <w:pPr>
              <w:spacing w:after="0" w:line="240" w:lineRule="auto"/>
            </w:pPr>
            <w:r>
              <w:rPr>
                <w:rFonts w:ascii="Calibri" w:hAnsi="Calibri"/>
                <w:color w:val="243447"/>
                <w:sz w:val="17"/>
              </w:rPr>
              <w:t>Service Operations / Integration Owner</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7"/>
              </w:rPr>
              <w:t>Work Order closure status</w:t>
            </w:r>
          </w:p>
        </w:tc>
        <w:tc>
          <w:tcPr>
            <w:tcW w:type="dxa" w:w="5100"/>
            <w:vAlign w:val="center"/>
            <w:tcMar>
              <w:top w:w="80" w:type="dxa"/>
              <w:start w:w="120" w:type="dxa"/>
              <w:bottom w:w="80" w:type="dxa"/>
              <w:end w:w="120" w:type="dxa"/>
            </w:tcMar>
          </w:tcPr>
          <w:p>
            <w:pPr>
              <w:spacing w:after="0" w:line="240" w:lineRule="auto"/>
            </w:pPr>
            <w:r>
              <w:rPr>
                <w:rFonts w:ascii="Calibri" w:hAnsi="Calibri"/>
                <w:color w:val="243447"/>
                <w:sz w:val="17"/>
              </w:rPr>
              <w:t>Status configuration must correctly drive the Salesforce Is Closed indicator.</w:t>
            </w:r>
          </w:p>
        </w:tc>
        <w:tc>
          <w:tcPr>
            <w:tcW w:type="dxa" w:w="2360"/>
            <w:vAlign w:val="center"/>
            <w:tcMar>
              <w:top w:w="80" w:type="dxa"/>
              <w:start w:w="120" w:type="dxa"/>
              <w:bottom w:w="80" w:type="dxa"/>
              <w:end w:w="120" w:type="dxa"/>
            </w:tcMar>
          </w:tcPr>
          <w:p>
            <w:pPr>
              <w:spacing w:after="0" w:line="240" w:lineRule="auto"/>
            </w:pPr>
            <w:r>
              <w:rPr>
                <w:rFonts w:ascii="Calibri" w:hAnsi="Calibri"/>
                <w:color w:val="243447"/>
                <w:sz w:val="17"/>
              </w:rPr>
              <w:t>Service Process Owner</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7"/>
              </w:rPr>
              <w:t>Nameplate image</w:t>
            </w:r>
          </w:p>
        </w:tc>
        <w:tc>
          <w:tcPr>
            <w:tcW w:type="dxa" w:w="5100"/>
            <w:vAlign w:val="center"/>
            <w:tcMar>
              <w:top w:w="80" w:type="dxa"/>
              <w:start w:w="120" w:type="dxa"/>
              <w:bottom w:w="80" w:type="dxa"/>
              <w:end w:w="120" w:type="dxa"/>
            </w:tcMar>
          </w:tcPr>
          <w:p>
            <w:pPr>
              <w:spacing w:after="0" w:line="240" w:lineRule="auto"/>
            </w:pPr>
            <w:r>
              <w:rPr>
                <w:rFonts w:ascii="Calibri" w:hAnsi="Calibri"/>
                <w:color w:val="243447"/>
                <w:sz w:val="17"/>
              </w:rPr>
              <w:t>Transient processing only; no persistence under the current scope.</w:t>
            </w:r>
          </w:p>
        </w:tc>
        <w:tc>
          <w:tcPr>
            <w:tcW w:type="dxa" w:w="2360"/>
            <w:vAlign w:val="center"/>
            <w:tcMar>
              <w:top w:w="80" w:type="dxa"/>
              <w:start w:w="120" w:type="dxa"/>
              <w:bottom w:w="80" w:type="dxa"/>
              <w:end w:w="120" w:type="dxa"/>
            </w:tcMar>
          </w:tcPr>
          <w:p>
            <w:pPr>
              <w:spacing w:after="0" w:line="240" w:lineRule="auto"/>
            </w:pPr>
            <w:r>
              <w:rPr>
                <w:rFonts w:ascii="Calibri" w:hAnsi="Calibri"/>
                <w:color w:val="243447"/>
                <w:sz w:val="17"/>
              </w:rPr>
              <w:t>Security / Privacy</w:t>
            </w:r>
          </w:p>
        </w:tc>
      </w:tr>
    </w:tbl>
    <w:p>
      <w:pPr>
        <w:spacing w:after="20"/>
      </w:pPr>
    </w:p>
    <w:p>
      <w:pPr>
        <w:pStyle w:val="Heading1"/>
        <w:keepNext/>
        <w:keepLines/>
      </w:pPr>
      <w:r>
        <w:t>10. Security, privacy, and compliance</w:t>
      </w:r>
    </w:p>
    <w:p>
      <w:pPr>
        <w:numPr>
          <w:ilvl w:val="0"/>
          <w:numId w:val="41"/>
        </w:numPr>
      </w:pPr>
      <w:r>
        <w:rPr>
          <w:rFonts w:ascii="Calibri" w:hAnsi="Calibri"/>
          <w:color w:val="243447"/>
          <w:sz w:val="22"/>
        </w:rPr>
        <w:t>Access is granted through the Asset Work Order Finder User permission set or an approved permission-set group.</w:t>
      </w:r>
    </w:p>
    <w:p>
      <w:pPr>
        <w:numPr>
          <w:ilvl w:val="0"/>
          <w:numId w:val="41"/>
        </w:numPr>
      </w:pPr>
      <w:r>
        <w:rPr>
          <w:rFonts w:ascii="Calibri" w:hAnsi="Calibri"/>
          <w:color w:val="243447"/>
          <w:sz w:val="22"/>
        </w:rPr>
        <w:t>The permission grants read-only access to the required Asset, Product, Account, Location, and Work Order data and no View All or Modify All access.</w:t>
      </w:r>
    </w:p>
    <w:p>
      <w:pPr>
        <w:numPr>
          <w:ilvl w:val="0"/>
          <w:numId w:val="41"/>
        </w:numPr>
      </w:pPr>
      <w:r>
        <w:rPr>
          <w:rFonts w:ascii="Calibri" w:hAnsi="Calibri"/>
          <w:color w:val="243447"/>
          <w:sz w:val="22"/>
        </w:rPr>
        <w:t>Server-side access must run with Salesforce sharing and user-mode field/object enforcement.</w:t>
      </w:r>
    </w:p>
    <w:p>
      <w:pPr>
        <w:numPr>
          <w:ilvl w:val="0"/>
          <w:numId w:val="41"/>
        </w:numPr>
      </w:pPr>
      <w:r>
        <w:rPr>
          <w:rFonts w:ascii="Calibri" w:hAnsi="Calibri"/>
          <w:color w:val="243447"/>
          <w:sz w:val="22"/>
        </w:rPr>
        <w:t>QR and OCR values are untrusted input and must be length-limited, normalized, and used only as query values.</w:t>
      </w:r>
    </w:p>
    <w:p>
      <w:pPr>
        <w:numPr>
          <w:ilvl w:val="0"/>
          <w:numId w:val="41"/>
        </w:numPr>
      </w:pPr>
      <w:r>
        <w:rPr>
          <w:rFonts w:ascii="Calibri" w:hAnsi="Calibri"/>
          <w:color w:val="243447"/>
          <w:sz w:val="22"/>
        </w:rPr>
        <w:t>QR payloads must not be executed or followed as URLs by the finder.</w:t>
      </w:r>
    </w:p>
    <w:p>
      <w:pPr>
        <w:numPr>
          <w:ilvl w:val="0"/>
          <w:numId w:val="41"/>
        </w:numPr>
      </w:pPr>
      <w:r>
        <w:rPr>
          <w:rFonts w:ascii="Calibri" w:hAnsi="Calibri"/>
          <w:color w:val="243447"/>
          <w:sz w:val="22"/>
        </w:rPr>
        <w:t>Images must not be logged or retained. Any future external recognition provider requires security, privacy, retention, and vendor approval.</w:t>
      </w:r>
    </w:p>
    <w:p>
      <w:pPr>
        <w:numPr>
          <w:ilvl w:val="0"/>
          <w:numId w:val="41"/>
        </w:numPr>
      </w:pPr>
      <w:r>
        <w:rPr>
          <w:rFonts w:ascii="Calibri" w:hAnsi="Calibri"/>
          <w:color w:val="243447"/>
          <w:sz w:val="22"/>
        </w:rPr>
        <w:t>Error messages must support recovery without disclosing inaccessible record existence or sensitive details.</w:t>
      </w:r>
    </w:p>
    <w:p>
      <w:pPr>
        <w:pStyle w:val="Heading1"/>
        <w:keepNext/>
        <w:keepLines/>
      </w:pPr>
      <w:r>
        <w:t>11. Non-functional requirements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after="0" w:line="240" w:lineRule="auto"/>
            </w:pPr>
            <w:r>
              <w:rPr>
                <w:rFonts w:ascii="Calibri" w:hAnsi="Calibri"/>
                <w:b/>
                <w:color w:val="1F4D78"/>
                <w:sz w:val="18"/>
              </w:rPr>
              <w:t>Area</w:t>
            </w:r>
          </w:p>
        </w:tc>
        <w:tc>
          <w:tcPr>
            <w:tcW w:type="dxa" w:w="7460"/>
            <w:vAlign w:val="center"/>
            <w:tcMar>
              <w:top w:w="80" w:type="dxa"/>
              <w:start w:w="120" w:type="dxa"/>
              <w:bottom w:w="80" w:type="dxa"/>
              <w:end w:w="120" w:type="dxa"/>
            </w:tcMar>
            <w:shd w:fill="F2F4F7"/>
          </w:tcPr>
          <w:p>
            <w:pPr>
              <w:spacing w:after="0" w:line="240" w:lineRule="auto"/>
            </w:pPr>
            <w:r>
              <w:rPr>
                <w:rFonts w:ascii="Calibri" w:hAnsi="Calibri"/>
                <w:b/>
                <w:color w:val="1F4D78"/>
                <w:sz w:val="18"/>
              </w:rPr>
              <w:t>Requirement</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8"/>
              </w:rPr>
              <w:t>Usability</w:t>
            </w:r>
          </w:p>
        </w:tc>
        <w:tc>
          <w:tcPr>
            <w:tcW w:type="dxa" w:w="7460"/>
            <w:vAlign w:val="center"/>
            <w:tcMar>
              <w:top w:w="80" w:type="dxa"/>
              <w:start w:w="120" w:type="dxa"/>
              <w:bottom w:w="80" w:type="dxa"/>
              <w:end w:w="120" w:type="dxa"/>
            </w:tcMar>
          </w:tcPr>
          <w:p>
            <w:pPr>
              <w:spacing w:after="0" w:line="240" w:lineRule="auto"/>
            </w:pPr>
            <w:r>
              <w:rPr>
                <w:rFonts w:ascii="Calibri" w:hAnsi="Calibri"/>
                <w:color w:val="243447"/>
                <w:sz w:val="18"/>
              </w:rPr>
              <w:t>Primary actions must be usable on supported phone form factors with touch-friendly controls and concise instructions.</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8"/>
              </w:rPr>
              <w:t>Performance</w:t>
            </w:r>
          </w:p>
        </w:tc>
        <w:tc>
          <w:tcPr>
            <w:tcW w:type="dxa" w:w="7460"/>
            <w:vAlign w:val="center"/>
            <w:tcMar>
              <w:top w:w="80" w:type="dxa"/>
              <w:start w:w="120" w:type="dxa"/>
              <w:bottom w:w="80" w:type="dxa"/>
              <w:end w:w="120" w:type="dxa"/>
            </w:tcMar>
          </w:tcPr>
          <w:p>
            <w:pPr>
              <w:spacing w:after="0" w:line="240" w:lineRule="auto"/>
            </w:pPr>
            <w:r>
              <w:rPr>
                <w:rFonts w:ascii="Calibri" w:hAnsi="Calibri"/>
                <w:color w:val="243447"/>
                <w:sz w:val="18"/>
              </w:rPr>
              <w:t>Under normal mobile connectivity, a lookup should return quickly enough to support onsite work; the production target is to be baselined during pilot.</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8"/>
              </w:rPr>
              <w:t>Reliability</w:t>
            </w:r>
          </w:p>
        </w:tc>
        <w:tc>
          <w:tcPr>
            <w:tcW w:type="dxa" w:w="7460"/>
            <w:vAlign w:val="center"/>
            <w:tcMar>
              <w:top w:w="80" w:type="dxa"/>
              <w:start w:w="120" w:type="dxa"/>
              <w:bottom w:w="80" w:type="dxa"/>
              <w:end w:w="120" w:type="dxa"/>
            </w:tcMar>
          </w:tcPr>
          <w:p>
            <w:pPr>
              <w:spacing w:after="0" w:line="240" w:lineRule="auto"/>
            </w:pPr>
            <w:r>
              <w:rPr>
                <w:rFonts w:ascii="Calibri" w:hAnsi="Calibri"/>
                <w:color w:val="243447"/>
                <w:sz w:val="18"/>
              </w:rPr>
              <w:t>Failures must preserve user context where practical and provide a retry or manual fallback.</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8"/>
              </w:rPr>
              <w:t>Accessibility</w:t>
            </w:r>
          </w:p>
        </w:tc>
        <w:tc>
          <w:tcPr>
            <w:tcW w:type="dxa" w:w="7460"/>
            <w:vAlign w:val="center"/>
            <w:tcMar>
              <w:top w:w="80" w:type="dxa"/>
              <w:start w:w="120" w:type="dxa"/>
              <w:bottom w:w="80" w:type="dxa"/>
              <w:end w:w="120" w:type="dxa"/>
            </w:tcMar>
          </w:tcPr>
          <w:p>
            <w:pPr>
              <w:spacing w:after="0" w:line="240" w:lineRule="auto"/>
            </w:pPr>
            <w:r>
              <w:rPr>
                <w:rFonts w:ascii="Calibri" w:hAnsi="Calibri"/>
                <w:color w:val="243447"/>
                <w:sz w:val="18"/>
              </w:rPr>
              <w:t>Labels, status messages, focus order, and actionable controls must support Salesforce mobile accessibility standards.</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8"/>
              </w:rPr>
              <w:t>Compatibility</w:t>
            </w:r>
          </w:p>
        </w:tc>
        <w:tc>
          <w:tcPr>
            <w:tcW w:type="dxa" w:w="7460"/>
            <w:vAlign w:val="center"/>
            <w:tcMar>
              <w:top w:w="80" w:type="dxa"/>
              <w:start w:w="120" w:type="dxa"/>
              <w:bottom w:w="80" w:type="dxa"/>
              <w:end w:w="120" w:type="dxa"/>
            </w:tcMar>
          </w:tcPr>
          <w:p>
            <w:pPr>
              <w:spacing w:after="0" w:line="240" w:lineRule="auto"/>
            </w:pPr>
            <w:r>
              <w:rPr>
                <w:rFonts w:ascii="Calibri" w:hAnsi="Calibri"/>
                <w:color w:val="243447"/>
                <w:sz w:val="18"/>
              </w:rPr>
              <w:t>The pilot must verify supported managed iOS and Android devices, camera permissions, and current Salesforce mobile versions.</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8"/>
              </w:rPr>
              <w:t>Scalability</w:t>
            </w:r>
          </w:p>
        </w:tc>
        <w:tc>
          <w:tcPr>
            <w:tcW w:type="dxa" w:w="7460"/>
            <w:vAlign w:val="center"/>
            <w:tcMar>
              <w:top w:w="80" w:type="dxa"/>
              <w:start w:w="120" w:type="dxa"/>
              <w:bottom w:w="80" w:type="dxa"/>
              <w:end w:w="120" w:type="dxa"/>
            </w:tcMar>
          </w:tcPr>
          <w:p>
            <w:pPr>
              <w:spacing w:after="0" w:line="240" w:lineRule="auto"/>
            </w:pPr>
            <w:r>
              <w:rPr>
                <w:rFonts w:ascii="Calibri" w:hAnsi="Calibri"/>
                <w:color w:val="243447"/>
                <w:sz w:val="18"/>
              </w:rPr>
              <w:t>A single lookup must be bounded; no more than 50 open Work Orders are returned for one Asset.</w:t>
            </w:r>
          </w:p>
        </w:tc>
      </w:tr>
      <w:tr>
        <w:tc>
          <w:tcPr>
            <w:tcW w:type="dxa" w:w="1900"/>
            <w:vAlign w:val="center"/>
            <w:tcMar>
              <w:top w:w="80" w:type="dxa"/>
              <w:start w:w="120" w:type="dxa"/>
              <w:bottom w:w="80" w:type="dxa"/>
              <w:end w:w="120" w:type="dxa"/>
            </w:tcMar>
          </w:tcPr>
          <w:p>
            <w:pPr>
              <w:spacing w:after="0" w:line="240" w:lineRule="auto"/>
            </w:pPr>
            <w:r>
              <w:rPr>
                <w:rFonts w:ascii="Calibri" w:hAnsi="Calibri"/>
                <w:color w:val="243447"/>
                <w:sz w:val="18"/>
              </w:rPr>
              <w:t>Supportability</w:t>
            </w:r>
          </w:p>
        </w:tc>
        <w:tc>
          <w:tcPr>
            <w:tcW w:type="dxa" w:w="7460"/>
            <w:vAlign w:val="center"/>
            <w:tcMar>
              <w:top w:w="80" w:type="dxa"/>
              <w:start w:w="120" w:type="dxa"/>
              <w:bottom w:w="80" w:type="dxa"/>
              <w:end w:w="120" w:type="dxa"/>
            </w:tcMar>
          </w:tcPr>
          <w:p>
            <w:pPr>
              <w:spacing w:after="0" w:line="240" w:lineRule="auto"/>
            </w:pPr>
            <w:r>
              <w:rPr>
                <w:rFonts w:ascii="Calibri" w:hAnsi="Calibri"/>
                <w:color w:val="243447"/>
                <w:sz w:val="18"/>
              </w:rPr>
              <w:t>Support teams must be able to distinguish scanner, permission, data-quality, and Salesforce availability issues.</w:t>
            </w:r>
          </w:p>
        </w:tc>
      </w:tr>
    </w:tbl>
    <w:p>
      <w:pPr>
        <w:spacing w:after="20"/>
      </w:pPr>
    </w:p>
    <w:p>
      <w:pPr>
        <w:pStyle w:val="Heading1"/>
        <w:keepNext/>
        <w:keepLines/>
      </w:pPr>
      <w:r>
        <w:t>12. Exception handling</w:t>
      </w:r>
    </w:p>
    <w:tbl>
      <w:tblPr>
        <w:tblStyle w:val="TableGrid"/>
        <w:tblW w:type="dxa" w:w="9360"/>
        <w:tblLayout w:type="fixed"/>
        <w:tblLook w:firstColumn="1" w:firstRow="1" w:lastColumn="0" w:lastRow="0" w:noHBand="0" w:noVBand="1" w:val="04A0"/>
        <w:jc w:val="left"/>
        <w:tblInd w:w="120" w:type="dxa"/>
      </w:tblPr>
      <w:tblGrid>
        <w:gridCol w:w="2750"/>
        <w:gridCol w:w="6610"/>
      </w:tblGrid>
      <w:tr>
        <w:trPr>
          <w:tblHeader w:val="true"/>
        </w:trPr>
        <w:tc>
          <w:tcPr>
            <w:tcW w:type="dxa" w:w="2750"/>
            <w:vAlign w:val="center"/>
            <w:tcMar>
              <w:top w:w="80" w:type="dxa"/>
              <w:start w:w="120" w:type="dxa"/>
              <w:bottom w:w="80" w:type="dxa"/>
              <w:end w:w="120" w:type="dxa"/>
            </w:tcMar>
            <w:shd w:fill="F2F4F7"/>
          </w:tcPr>
          <w:p>
            <w:pPr>
              <w:spacing w:after="0" w:line="240" w:lineRule="auto"/>
            </w:pPr>
            <w:r>
              <w:rPr>
                <w:rFonts w:ascii="Calibri" w:hAnsi="Calibri"/>
                <w:b/>
                <w:color w:val="1F4D78"/>
                <w:sz w:val="17"/>
              </w:rPr>
              <w:t>Scenario</w:t>
            </w:r>
          </w:p>
        </w:tc>
        <w:tc>
          <w:tcPr>
            <w:tcW w:type="dxa" w:w="6610"/>
            <w:vAlign w:val="center"/>
            <w:tcMar>
              <w:top w:w="80" w:type="dxa"/>
              <w:start w:w="120" w:type="dxa"/>
              <w:bottom w:w="80" w:type="dxa"/>
              <w:end w:w="120" w:type="dxa"/>
            </w:tcMar>
            <w:shd w:fill="F2F4F7"/>
          </w:tcPr>
          <w:p>
            <w:pPr>
              <w:spacing w:after="0" w:line="240" w:lineRule="auto"/>
            </w:pPr>
            <w:r>
              <w:rPr>
                <w:rFonts w:ascii="Calibri" w:hAnsi="Calibri"/>
                <w:b/>
                <w:color w:val="1F4D78"/>
                <w:sz w:val="17"/>
              </w:rPr>
              <w:t>Expected outcome</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QR is unreadable</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Offer camera/nameplate and manual-entry alternatives.</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QR is unknown</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State that no accessible Asset matched; do not navigate.</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Duplicate QR data</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Stop and direct the user to data support; do not choose either Asset.</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OCR finds no clear serial</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Prompt the FSE to enter or correct the serial manually.</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Serial has multiple candidates</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Display identifying context and require explicit Asset selection.</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No open Work Orders</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Show the confirmed Asset and an explicit no-open-work message.</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More than 50 open Work Orders</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Show the bounded result and indicate that the supported limit was reached.</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Camera permission denied</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Explain how to enable permission and retain manual entry.</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User lacks record access</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Return only accessible records and avoid revealing restricted details.</w:t>
            </w:r>
          </w:p>
        </w:tc>
      </w:tr>
      <w:tr>
        <w:tc>
          <w:tcPr>
            <w:tcW w:type="dxa" w:w="2750"/>
            <w:vAlign w:val="center"/>
            <w:tcMar>
              <w:top w:w="80" w:type="dxa"/>
              <w:start w:w="120" w:type="dxa"/>
              <w:bottom w:w="80" w:type="dxa"/>
              <w:end w:w="120" w:type="dxa"/>
            </w:tcMar>
          </w:tcPr>
          <w:p>
            <w:pPr>
              <w:spacing w:after="0" w:line="240" w:lineRule="auto"/>
            </w:pPr>
            <w:r>
              <w:rPr>
                <w:rFonts w:ascii="Calibri" w:hAnsi="Calibri"/>
                <w:color w:val="243447"/>
                <w:sz w:val="17"/>
              </w:rPr>
              <w:t>Poor or lost connectivity</w:t>
            </w:r>
          </w:p>
        </w:tc>
        <w:tc>
          <w:tcPr>
            <w:tcW w:type="dxa" w:w="6610"/>
            <w:vAlign w:val="center"/>
            <w:tcMar>
              <w:top w:w="80" w:type="dxa"/>
              <w:start w:w="120" w:type="dxa"/>
              <w:bottom w:w="80" w:type="dxa"/>
              <w:end w:w="120" w:type="dxa"/>
            </w:tcMar>
          </w:tcPr>
          <w:p>
            <w:pPr>
              <w:spacing w:after="0" w:line="240" w:lineRule="auto"/>
            </w:pPr>
            <w:r>
              <w:rPr>
                <w:rFonts w:ascii="Calibri" w:hAnsi="Calibri"/>
                <w:color w:val="243447"/>
                <w:sz w:val="17"/>
              </w:rPr>
              <w:t>Show a recoverable error and allow retry when connectivity returns.</w:t>
            </w:r>
          </w:p>
        </w:tc>
      </w:tr>
    </w:tbl>
    <w:p>
      <w:pPr>
        <w:spacing w:after="20"/>
      </w:pPr>
    </w:p>
    <w:p>
      <w:pPr>
        <w:pStyle w:val="Heading1"/>
        <w:keepNext/>
        <w:keepLines/>
      </w:pPr>
      <w:r>
        <w:t>13. Acceptance criteria</w:t>
      </w:r>
    </w:p>
    <w:tbl>
      <w:tblPr>
        <w:tblStyle w:val="TableGrid"/>
        <w:tblW w:type="dxa" w:w="9360"/>
        <w:tblLayout w:type="fixed"/>
        <w:tblLook w:firstColumn="1" w:firstRow="1" w:lastColumn="0" w:lastRow="0" w:noHBand="0" w:noVBand="1" w:val="04A0"/>
        <w:jc w:val="left"/>
        <w:tblInd w:w="120" w:type="dxa"/>
      </w:tblPr>
      <w:tblGrid>
        <w:gridCol w:w="1050"/>
        <w:gridCol w:w="8310"/>
      </w:tblGrid>
      <w:tr>
        <w:trPr>
          <w:tblHeader w:val="true"/>
        </w:trPr>
        <w:tc>
          <w:tcPr>
            <w:tcW w:type="dxa" w:w="1050"/>
            <w:vAlign w:val="center"/>
            <w:tcMar>
              <w:top w:w="80" w:type="dxa"/>
              <w:start w:w="120" w:type="dxa"/>
              <w:bottom w:w="80" w:type="dxa"/>
              <w:end w:w="120" w:type="dxa"/>
            </w:tcMar>
            <w:shd w:fill="F2F4F7"/>
          </w:tcPr>
          <w:p>
            <w:pPr>
              <w:spacing w:after="0" w:line="240" w:lineRule="auto"/>
            </w:pPr>
            <w:r>
              <w:rPr>
                <w:rFonts w:ascii="Calibri" w:hAnsi="Calibri"/>
                <w:b/>
                <w:color w:val="1F4D78"/>
                <w:sz w:val="17"/>
              </w:rPr>
              <w:t>ID</w:t>
            </w:r>
          </w:p>
        </w:tc>
        <w:tc>
          <w:tcPr>
            <w:tcW w:type="dxa" w:w="8310"/>
            <w:vAlign w:val="center"/>
            <w:tcMar>
              <w:top w:w="80" w:type="dxa"/>
              <w:start w:w="120" w:type="dxa"/>
              <w:bottom w:w="80" w:type="dxa"/>
              <w:end w:w="120" w:type="dxa"/>
            </w:tcMar>
            <w:shd w:fill="F2F4F7"/>
          </w:tcPr>
          <w:p>
            <w:pPr>
              <w:spacing w:after="0" w:line="240" w:lineRule="auto"/>
            </w:pPr>
            <w:r>
              <w:rPr>
                <w:rFonts w:ascii="Calibri" w:hAnsi="Calibri"/>
                <w:b/>
                <w:color w:val="1F4D78"/>
                <w:sz w:val="17"/>
              </w:rPr>
              <w:t>Acceptance criterion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AC-01</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a valid unique Asset QR code, when the FSE scans it, then the correct accessible Asset and only its open Work Orders are displayed.</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AC-02</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a QR value with whitespace or case variation, when it is submitted, then the same unique Asset is found.</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AC-03</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an unknown or ambiguous QR value, when it is submitted, then no Asset is selected and a clear error is shown.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AC-04</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a supported mobile device, when the FSE scans a nameplate, then OCR suggests text and the FSE can verify or correct the serial before search.</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AC-05</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multiple Assets with the same serial number, when candidates are returned, then no Asset is used until the FSE explicitly confirms one.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AC-06</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one or more open Work Orders, when the FSE selects one, then Salesforce mobile opens that Work Order record.</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AC-07</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only closed Work Orders, when the Asset is identified, then the finder states that no open Work Order exists and displays no closed substitute.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AC-08</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a user without access to a related Work Order, when a lookup is performed, then the restricted Work Order is not returned.</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AC-09</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camera services are unavailable, when the FSE uses manual entry, then the Asset and open-work lookup remains available.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43447"/>
                <w:sz w:val="17"/>
              </w:rPr>
              <w:t>AC-10</w:t>
            </w:r>
          </w:p>
        </w:tc>
        <w:tc>
          <w:tcPr>
            <w:tcW w:type="dxa" w:w="8310"/>
            <w:vAlign w:val="center"/>
            <w:tcMar>
              <w:top w:w="80" w:type="dxa"/>
              <w:start w:w="120" w:type="dxa"/>
              <w:bottom w:w="80" w:type="dxa"/>
              <w:end w:w="120" w:type="dxa"/>
            </w:tcMar>
          </w:tcPr>
          <w:p>
            <w:pPr>
              <w:spacing w:after="0" w:line="240" w:lineRule="auto"/>
            </w:pPr>
            <w:r>
              <w:rPr>
                <w:rFonts w:ascii="Calibri" w:hAnsi="Calibri"/>
                <w:color w:val="243447"/>
                <w:sz w:val="17"/>
              </w:rPr>
              <w:t>Given a completed nameplate attempt, then the finder does not retain the image as a Salesforce file or business record.</w:t>
            </w:r>
          </w:p>
        </w:tc>
      </w:tr>
    </w:tbl>
    <w:p>
      <w:pPr>
        <w:spacing w:after="20"/>
      </w:pPr>
    </w:p>
    <w:p>
      <w:pPr>
        <w:pStyle w:val="Heading1"/>
        <w:keepNext/>
        <w:keepLines/>
      </w:pPr>
      <w:r>
        <w:t>14. Dependencies, assumptions, and constraints</w:t>
      </w:r>
    </w:p>
    <w:p>
      <w:pPr>
        <w:pStyle w:val="Heading2"/>
        <w:keepNext/>
        <w:keepLines/>
      </w:pPr>
      <w:r>
        <w:t>14.1 Dependencies</w:t>
      </w:r>
    </w:p>
    <w:p>
      <w:pPr>
        <w:numPr>
          <w:ilvl w:val="0"/>
          <w:numId w:val="41"/>
        </w:numPr>
      </w:pPr>
      <w:r>
        <w:rPr>
          <w:rFonts w:ascii="Calibri" w:hAnsi="Calibri"/>
          <w:color w:val="243447"/>
          <w:sz w:val="22"/>
        </w:rPr>
        <w:t>Assets are populated with a stable QR identifier and physically labelled where the QR route is expected.</w:t>
      </w:r>
    </w:p>
    <w:p>
      <w:pPr>
        <w:numPr>
          <w:ilvl w:val="0"/>
          <w:numId w:val="41"/>
        </w:numPr>
      </w:pPr>
      <w:r>
        <w:rPr>
          <w:rFonts w:ascii="Calibri" w:hAnsi="Calibri"/>
          <w:color w:val="243447"/>
          <w:sz w:val="22"/>
        </w:rPr>
        <w:t>Work Orders reference the correct Asset through the standard Asset relationship.</w:t>
      </w:r>
    </w:p>
    <w:p>
      <w:pPr>
        <w:numPr>
          <w:ilvl w:val="0"/>
          <w:numId w:val="41"/>
        </w:numPr>
      </w:pPr>
      <w:r>
        <w:rPr>
          <w:rFonts w:ascii="Calibri" w:hAnsi="Calibri"/>
          <w:color w:val="243447"/>
          <w:sz w:val="22"/>
        </w:rPr>
        <w:t>Salesforce status configuration correctly maintains the Work Order closed indicator.</w:t>
      </w:r>
    </w:p>
    <w:p>
      <w:pPr>
        <w:numPr>
          <w:ilvl w:val="0"/>
          <w:numId w:val="41"/>
        </w:numPr>
      </w:pPr>
      <w:r>
        <w:rPr>
          <w:rFonts w:ascii="Calibri" w:hAnsi="Calibri"/>
          <w:color w:val="243447"/>
          <w:sz w:val="22"/>
        </w:rPr>
        <w:t>The Salesforce mobile app and device operating system permit camera use.</w:t>
      </w:r>
    </w:p>
    <w:p>
      <w:pPr>
        <w:numPr>
          <w:ilvl w:val="0"/>
          <w:numId w:val="41"/>
        </w:numPr>
      </w:pPr>
      <w:r>
        <w:rPr>
          <w:rFonts w:ascii="Calibri" w:hAnsi="Calibri"/>
          <w:color w:val="243447"/>
          <w:sz w:val="22"/>
        </w:rPr>
        <w:t>FSE users receive the required permission set and appropriate record sharing.</w:t>
      </w:r>
    </w:p>
    <w:p>
      <w:pPr>
        <w:pStyle w:val="Heading2"/>
        <w:keepNext/>
        <w:keepLines/>
      </w:pPr>
      <w:r>
        <w:t>14.2 Assumptions and constraints</w:t>
      </w:r>
    </w:p>
    <w:p>
      <w:pPr>
        <w:numPr>
          <w:ilvl w:val="0"/>
          <w:numId w:val="41"/>
        </w:numPr>
      </w:pPr>
      <w:r>
        <w:rPr>
          <w:rFonts w:ascii="Calibri" w:hAnsi="Calibri"/>
          <w:color w:val="243447"/>
          <w:sz w:val="22"/>
        </w:rPr>
        <w:t>The first production release is online-first; a true offline data design is not assumed.</w:t>
      </w:r>
    </w:p>
    <w:p>
      <w:pPr>
        <w:numPr>
          <w:ilvl w:val="0"/>
          <w:numId w:val="41"/>
        </w:numPr>
      </w:pPr>
      <w:r>
        <w:rPr>
          <w:rFonts w:ascii="Calibri" w:hAnsi="Calibri"/>
          <w:color w:val="243447"/>
          <w:sz w:val="22"/>
        </w:rPr>
        <w:t>QR codes encode an opaque Asset identifier, not credentials or a privileged URL.</w:t>
      </w:r>
    </w:p>
    <w:p>
      <w:pPr>
        <w:numPr>
          <w:ilvl w:val="0"/>
          <w:numId w:val="41"/>
        </w:numPr>
      </w:pPr>
      <w:r>
        <w:rPr>
          <w:rFonts w:ascii="Calibri" w:hAnsi="Calibri"/>
          <w:color w:val="243447"/>
          <w:sz w:val="22"/>
        </w:rPr>
        <w:t>Serial-number identification uses exact matching after the FSE verifies the OCR suggestion.</w:t>
      </w:r>
    </w:p>
    <w:p>
      <w:pPr>
        <w:numPr>
          <w:ilvl w:val="0"/>
          <w:numId w:val="41"/>
        </w:numPr>
      </w:pPr>
      <w:r>
        <w:rPr>
          <w:rFonts w:ascii="Calibri" w:hAnsi="Calibri"/>
          <w:color w:val="243447"/>
          <w:sz w:val="22"/>
        </w:rPr>
        <w:t>The scratch-org implementation demonstrates the requirement but does not constitute production approval.</w:t>
      </w:r>
    </w:p>
    <w:p>
      <w:pPr>
        <w:numPr>
          <w:ilvl w:val="0"/>
          <w:numId w:val="41"/>
        </w:numPr>
      </w:pPr>
      <w:r>
        <w:rPr>
          <w:rFonts w:ascii="Calibri" w:hAnsi="Calibri"/>
          <w:color w:val="243447"/>
          <w:sz w:val="22"/>
        </w:rPr>
        <w:t>Production deployment remains subject to business acceptance, security review, release governance, and mobile pilot results.</w:t>
      </w:r>
    </w:p>
    <w:p>
      <w:pPr>
        <w:pStyle w:val="Heading1"/>
        <w:keepNext/>
        <w:keepLines/>
      </w:pPr>
      <w:r>
        <w:t>15. Risks and mitigations</w:t>
      </w:r>
    </w:p>
    <w:tbl>
      <w:tblPr>
        <w:tblStyle w:val="TableGrid"/>
        <w:tblW w:type="dxa" w:w="9360"/>
        <w:tblLayout w:type="fixed"/>
        <w:tblLook w:firstColumn="1" w:firstRow="1" w:lastColumn="0" w:lastRow="0" w:noHBand="0" w:noVBand="1" w:val="04A0"/>
        <w:jc w:val="left"/>
        <w:tblInd w:w="120" w:type="dxa"/>
      </w:tblPr>
      <w:tblGrid>
        <w:gridCol w:w="2500"/>
        <w:gridCol w:w="2800"/>
        <w:gridCol w:w="4060"/>
      </w:tblGrid>
      <w:tr>
        <w:trPr>
          <w:tblHeader w:val="true"/>
        </w:trPr>
        <w:tc>
          <w:tcPr>
            <w:tcW w:type="dxa" w:w="2500"/>
            <w:vAlign w:val="center"/>
            <w:tcMar>
              <w:top w:w="80" w:type="dxa"/>
              <w:start w:w="120" w:type="dxa"/>
              <w:bottom w:w="80" w:type="dxa"/>
              <w:end w:w="120" w:type="dxa"/>
            </w:tcMar>
            <w:shd w:fill="F2F4F7"/>
          </w:tcPr>
          <w:p>
            <w:pPr>
              <w:spacing w:after="0" w:line="240" w:lineRule="auto"/>
            </w:pPr>
            <w:r>
              <w:rPr>
                <w:rFonts w:ascii="Calibri" w:hAnsi="Calibri"/>
                <w:b/>
                <w:color w:val="1F4D78"/>
                <w:sz w:val="16"/>
              </w:rPr>
              <w:t>Risk</w:t>
            </w:r>
          </w:p>
        </w:tc>
        <w:tc>
          <w:tcPr>
            <w:tcW w:type="dxa" w:w="2800"/>
            <w:vAlign w:val="center"/>
            <w:tcMar>
              <w:top w:w="80" w:type="dxa"/>
              <w:start w:w="120" w:type="dxa"/>
              <w:bottom w:w="80" w:type="dxa"/>
              <w:end w:w="120" w:type="dxa"/>
            </w:tcMar>
            <w:shd w:fill="F2F4F7"/>
          </w:tcPr>
          <w:p>
            <w:pPr>
              <w:spacing w:after="0" w:line="240" w:lineRule="auto"/>
            </w:pPr>
            <w:r>
              <w:rPr>
                <w:rFonts w:ascii="Calibri" w:hAnsi="Calibri"/>
                <w:b/>
                <w:color w:val="1F4D78"/>
                <w:sz w:val="16"/>
              </w:rPr>
              <w:t>Impact</w:t>
            </w:r>
          </w:p>
        </w:tc>
        <w:tc>
          <w:tcPr>
            <w:tcW w:type="dxa" w:w="4060"/>
            <w:vAlign w:val="center"/>
            <w:tcMar>
              <w:top w:w="80" w:type="dxa"/>
              <w:start w:w="120" w:type="dxa"/>
              <w:bottom w:w="80" w:type="dxa"/>
              <w:end w:w="120" w:type="dxa"/>
            </w:tcMar>
            <w:shd w:fill="F2F4F7"/>
          </w:tcPr>
          <w:p>
            <w:pPr>
              <w:spacing w:after="0" w:line="240" w:lineRule="auto"/>
            </w:pPr>
            <w:r>
              <w:rPr>
                <w:rFonts w:ascii="Calibri" w:hAnsi="Calibri"/>
                <w:b/>
                <w:color w:val="1F4D78"/>
                <w:sz w:val="16"/>
              </w:rPr>
              <w:t>Mitigation</w:t>
            </w:r>
          </w:p>
        </w:tc>
      </w:tr>
      <w:tr>
        <w:tc>
          <w:tcPr>
            <w:tcW w:type="dxa" w:w="2500"/>
            <w:vAlign w:val="center"/>
            <w:tcMar>
              <w:top w:w="80" w:type="dxa"/>
              <w:start w:w="120" w:type="dxa"/>
              <w:bottom w:w="80" w:type="dxa"/>
              <w:end w:w="120" w:type="dxa"/>
            </w:tcMar>
          </w:tcPr>
          <w:p>
            <w:pPr>
              <w:spacing w:after="0" w:line="240" w:lineRule="auto"/>
            </w:pPr>
            <w:r>
              <w:rPr>
                <w:rFonts w:ascii="Calibri" w:hAnsi="Calibri"/>
                <w:color w:val="243447"/>
                <w:sz w:val="16"/>
              </w:rPr>
              <w:t>Missing or incorrect QR values</w:t>
            </w:r>
          </w:p>
        </w:tc>
        <w:tc>
          <w:tcPr>
            <w:tcW w:type="dxa" w:w="2800"/>
            <w:vAlign w:val="center"/>
            <w:tcMar>
              <w:top w:w="80" w:type="dxa"/>
              <w:start w:w="120" w:type="dxa"/>
              <w:bottom w:w="80" w:type="dxa"/>
              <w:end w:w="120" w:type="dxa"/>
            </w:tcMar>
          </w:tcPr>
          <w:p>
            <w:pPr>
              <w:spacing w:after="0" w:line="240" w:lineRule="auto"/>
            </w:pPr>
            <w:r>
              <w:rPr>
                <w:rFonts w:ascii="Calibri" w:hAnsi="Calibri"/>
                <w:color w:val="243447"/>
                <w:sz w:val="16"/>
              </w:rPr>
              <w:t>Asset cannot be identified or the wrong label is used.</w:t>
            </w:r>
          </w:p>
        </w:tc>
        <w:tc>
          <w:tcPr>
            <w:tcW w:type="dxa" w:w="4060"/>
            <w:vAlign w:val="center"/>
            <w:tcMar>
              <w:top w:w="80" w:type="dxa"/>
              <w:start w:w="120" w:type="dxa"/>
              <w:bottom w:w="80" w:type="dxa"/>
              <w:end w:w="120" w:type="dxa"/>
            </w:tcMar>
          </w:tcPr>
          <w:p>
            <w:pPr>
              <w:spacing w:after="0" w:line="240" w:lineRule="auto"/>
            </w:pPr>
            <w:r>
              <w:rPr>
                <w:rFonts w:ascii="Calibri" w:hAnsi="Calibri"/>
                <w:color w:val="243447"/>
                <w:sz w:val="16"/>
              </w:rPr>
              <w:t>Preflight data, enforce uniqueness, govern label generation, and monitor exceptions.</w:t>
            </w:r>
          </w:p>
        </w:tc>
      </w:tr>
      <w:tr>
        <w:tc>
          <w:tcPr>
            <w:tcW w:type="dxa" w:w="2500"/>
            <w:vAlign w:val="center"/>
            <w:tcMar>
              <w:top w:w="80" w:type="dxa"/>
              <w:start w:w="120" w:type="dxa"/>
              <w:bottom w:w="80" w:type="dxa"/>
              <w:end w:w="120" w:type="dxa"/>
            </w:tcMar>
          </w:tcPr>
          <w:p>
            <w:pPr>
              <w:spacing w:after="0" w:line="240" w:lineRule="auto"/>
            </w:pPr>
            <w:r>
              <w:rPr>
                <w:rFonts w:ascii="Calibri" w:hAnsi="Calibri"/>
                <w:color w:val="243447"/>
                <w:sz w:val="16"/>
              </w:rPr>
              <w:t>Duplicate serial numbers</w:t>
            </w:r>
          </w:p>
        </w:tc>
        <w:tc>
          <w:tcPr>
            <w:tcW w:type="dxa" w:w="2800"/>
            <w:vAlign w:val="center"/>
            <w:tcMar>
              <w:top w:w="80" w:type="dxa"/>
              <w:start w:w="120" w:type="dxa"/>
              <w:bottom w:w="80" w:type="dxa"/>
              <w:end w:w="120" w:type="dxa"/>
            </w:tcMar>
          </w:tcPr>
          <w:p>
            <w:pPr>
              <w:spacing w:after="0" w:line="240" w:lineRule="auto"/>
            </w:pPr>
            <w:r>
              <w:rPr>
                <w:rFonts w:ascii="Calibri" w:hAnsi="Calibri"/>
                <w:color w:val="243447"/>
                <w:sz w:val="16"/>
              </w:rPr>
              <w:t>Camera/nameplate search returns several Assets.</w:t>
            </w:r>
          </w:p>
        </w:tc>
        <w:tc>
          <w:tcPr>
            <w:tcW w:type="dxa" w:w="4060"/>
            <w:vAlign w:val="center"/>
            <w:tcMar>
              <w:top w:w="80" w:type="dxa"/>
              <w:start w:w="120" w:type="dxa"/>
              <w:bottom w:w="80" w:type="dxa"/>
              <w:end w:w="120" w:type="dxa"/>
            </w:tcMar>
          </w:tcPr>
          <w:p>
            <w:pPr>
              <w:spacing w:after="0" w:line="240" w:lineRule="auto"/>
            </w:pPr>
            <w:r>
              <w:rPr>
                <w:rFonts w:ascii="Calibri" w:hAnsi="Calibri"/>
                <w:color w:val="243447"/>
                <w:sz w:val="16"/>
              </w:rPr>
              <w:t>Require FSE confirmation using product, location, and Asset context.</w:t>
            </w:r>
          </w:p>
        </w:tc>
      </w:tr>
      <w:tr>
        <w:tc>
          <w:tcPr>
            <w:tcW w:type="dxa" w:w="2500"/>
            <w:vAlign w:val="center"/>
            <w:tcMar>
              <w:top w:w="80" w:type="dxa"/>
              <w:start w:w="120" w:type="dxa"/>
              <w:bottom w:w="80" w:type="dxa"/>
              <w:end w:w="120" w:type="dxa"/>
            </w:tcMar>
          </w:tcPr>
          <w:p>
            <w:pPr>
              <w:spacing w:after="0" w:line="240" w:lineRule="auto"/>
            </w:pPr>
            <w:r>
              <w:rPr>
                <w:rFonts w:ascii="Calibri" w:hAnsi="Calibri"/>
                <w:color w:val="243447"/>
                <w:sz w:val="16"/>
              </w:rPr>
              <w:t>Incorrect Work Order to Asset relationship</w:t>
            </w:r>
          </w:p>
        </w:tc>
        <w:tc>
          <w:tcPr>
            <w:tcW w:type="dxa" w:w="2800"/>
            <w:vAlign w:val="center"/>
            <w:tcMar>
              <w:top w:w="80" w:type="dxa"/>
              <w:start w:w="120" w:type="dxa"/>
              <w:bottom w:w="80" w:type="dxa"/>
              <w:end w:w="120" w:type="dxa"/>
            </w:tcMar>
          </w:tcPr>
          <w:p>
            <w:pPr>
              <w:spacing w:after="0" w:line="240" w:lineRule="auto"/>
            </w:pPr>
            <w:r>
              <w:rPr>
                <w:rFonts w:ascii="Calibri" w:hAnsi="Calibri"/>
                <w:color w:val="243447"/>
                <w:sz w:val="16"/>
              </w:rPr>
              <w:t>Relevant work is missing or unrelated work appears.</w:t>
            </w:r>
          </w:p>
        </w:tc>
        <w:tc>
          <w:tcPr>
            <w:tcW w:type="dxa" w:w="4060"/>
            <w:vAlign w:val="center"/>
            <w:tcMar>
              <w:top w:w="80" w:type="dxa"/>
              <w:start w:w="120" w:type="dxa"/>
              <w:bottom w:w="80" w:type="dxa"/>
              <w:end w:w="120" w:type="dxa"/>
            </w:tcMar>
          </w:tcPr>
          <w:p>
            <w:pPr>
              <w:spacing w:after="0" w:line="240" w:lineRule="auto"/>
            </w:pPr>
            <w:r>
              <w:rPr>
                <w:rFonts w:ascii="Calibri" w:hAnsi="Calibri"/>
                <w:color w:val="243447"/>
                <w:sz w:val="16"/>
              </w:rPr>
              <w:t>Add data-quality reporting and ownership for relationship corrections.</w:t>
            </w:r>
          </w:p>
        </w:tc>
      </w:tr>
      <w:tr>
        <w:tc>
          <w:tcPr>
            <w:tcW w:type="dxa" w:w="2500"/>
            <w:vAlign w:val="center"/>
            <w:tcMar>
              <w:top w:w="80" w:type="dxa"/>
              <w:start w:w="120" w:type="dxa"/>
              <w:bottom w:w="80" w:type="dxa"/>
              <w:end w:w="120" w:type="dxa"/>
            </w:tcMar>
          </w:tcPr>
          <w:p>
            <w:pPr>
              <w:spacing w:after="0" w:line="240" w:lineRule="auto"/>
            </w:pPr>
            <w:r>
              <w:rPr>
                <w:rFonts w:ascii="Calibri" w:hAnsi="Calibri"/>
                <w:color w:val="243447"/>
                <w:sz w:val="16"/>
              </w:rPr>
              <w:t>Restricted record sharing</w:t>
            </w:r>
          </w:p>
        </w:tc>
        <w:tc>
          <w:tcPr>
            <w:tcW w:type="dxa" w:w="2800"/>
            <w:vAlign w:val="center"/>
            <w:tcMar>
              <w:top w:w="80" w:type="dxa"/>
              <w:start w:w="120" w:type="dxa"/>
              <w:bottom w:w="80" w:type="dxa"/>
              <w:end w:w="120" w:type="dxa"/>
            </w:tcMar>
          </w:tcPr>
          <w:p>
            <w:pPr>
              <w:spacing w:after="0" w:line="240" w:lineRule="auto"/>
            </w:pPr>
            <w:r>
              <w:rPr>
                <w:rFonts w:ascii="Calibri" w:hAnsi="Calibri"/>
                <w:color w:val="243447"/>
                <w:sz w:val="16"/>
              </w:rPr>
              <w:t>FSE cannot see required work.</w:t>
            </w:r>
          </w:p>
        </w:tc>
        <w:tc>
          <w:tcPr>
            <w:tcW w:type="dxa" w:w="4060"/>
            <w:vAlign w:val="center"/>
            <w:tcMar>
              <w:top w:w="80" w:type="dxa"/>
              <w:start w:w="120" w:type="dxa"/>
              <w:bottom w:w="80" w:type="dxa"/>
              <w:end w:w="120" w:type="dxa"/>
            </w:tcMar>
          </w:tcPr>
          <w:p>
            <w:pPr>
              <w:spacing w:after="0" w:line="240" w:lineRule="auto"/>
            </w:pPr>
            <w:r>
              <w:rPr>
                <w:rFonts w:ascii="Calibri" w:hAnsi="Calibri"/>
                <w:color w:val="243447"/>
                <w:sz w:val="16"/>
              </w:rPr>
              <w:t>Test representative territories and correct the sharing model through approved governance.</w:t>
            </w:r>
          </w:p>
        </w:tc>
      </w:tr>
      <w:tr>
        <w:tc>
          <w:tcPr>
            <w:tcW w:type="dxa" w:w="2500"/>
            <w:vAlign w:val="center"/>
            <w:tcMar>
              <w:top w:w="80" w:type="dxa"/>
              <w:start w:w="120" w:type="dxa"/>
              <w:bottom w:w="80" w:type="dxa"/>
              <w:end w:w="120" w:type="dxa"/>
            </w:tcMar>
          </w:tcPr>
          <w:p>
            <w:pPr>
              <w:spacing w:after="0" w:line="240" w:lineRule="auto"/>
            </w:pPr>
            <w:r>
              <w:rPr>
                <w:rFonts w:ascii="Calibri" w:hAnsi="Calibri"/>
                <w:color w:val="243447"/>
                <w:sz w:val="16"/>
              </w:rPr>
              <w:t>Camera/OCR limitations</w:t>
            </w:r>
          </w:p>
        </w:tc>
        <w:tc>
          <w:tcPr>
            <w:tcW w:type="dxa" w:w="2800"/>
            <w:vAlign w:val="center"/>
            <w:tcMar>
              <w:top w:w="80" w:type="dxa"/>
              <w:start w:w="120" w:type="dxa"/>
              <w:bottom w:w="80" w:type="dxa"/>
              <w:end w:w="120" w:type="dxa"/>
            </w:tcMar>
          </w:tcPr>
          <w:p>
            <w:pPr>
              <w:spacing w:after="0" w:line="240" w:lineRule="auto"/>
            </w:pPr>
            <w:r>
              <w:rPr>
                <w:rFonts w:ascii="Calibri" w:hAnsi="Calibri"/>
                <w:color w:val="243447"/>
                <w:sz w:val="16"/>
              </w:rPr>
              <w:t>Nameplate text is not read accurately.</w:t>
            </w:r>
          </w:p>
        </w:tc>
        <w:tc>
          <w:tcPr>
            <w:tcW w:type="dxa" w:w="4060"/>
            <w:vAlign w:val="center"/>
            <w:tcMar>
              <w:top w:w="80" w:type="dxa"/>
              <w:start w:w="120" w:type="dxa"/>
              <w:bottom w:w="80" w:type="dxa"/>
              <w:end w:w="120" w:type="dxa"/>
            </w:tcMar>
          </w:tcPr>
          <w:p>
            <w:pPr>
              <w:spacing w:after="0" w:line="240" w:lineRule="auto"/>
            </w:pPr>
            <w:r>
              <w:rPr>
                <w:rFonts w:ascii="Calibri" w:hAnsi="Calibri"/>
                <w:color w:val="243447"/>
                <w:sz w:val="16"/>
              </w:rPr>
              <w:t>Keep QR as primary, require verification, and retain manual entry.</w:t>
            </w:r>
          </w:p>
        </w:tc>
      </w:tr>
      <w:tr>
        <w:tc>
          <w:tcPr>
            <w:tcW w:type="dxa" w:w="2500"/>
            <w:vAlign w:val="center"/>
            <w:tcMar>
              <w:top w:w="80" w:type="dxa"/>
              <w:start w:w="120" w:type="dxa"/>
              <w:bottom w:w="80" w:type="dxa"/>
              <w:end w:w="120" w:type="dxa"/>
            </w:tcMar>
          </w:tcPr>
          <w:p>
            <w:pPr>
              <w:spacing w:after="0" w:line="240" w:lineRule="auto"/>
            </w:pPr>
            <w:r>
              <w:rPr>
                <w:rFonts w:ascii="Calibri" w:hAnsi="Calibri"/>
                <w:color w:val="243447"/>
                <w:sz w:val="16"/>
              </w:rPr>
              <w:t>Poor field connectivity</w:t>
            </w:r>
          </w:p>
        </w:tc>
        <w:tc>
          <w:tcPr>
            <w:tcW w:type="dxa" w:w="2800"/>
            <w:vAlign w:val="center"/>
            <w:tcMar>
              <w:top w:w="80" w:type="dxa"/>
              <w:start w:w="120" w:type="dxa"/>
              <w:bottom w:w="80" w:type="dxa"/>
              <w:end w:w="120" w:type="dxa"/>
            </w:tcMar>
          </w:tcPr>
          <w:p>
            <w:pPr>
              <w:spacing w:after="0" w:line="240" w:lineRule="auto"/>
            </w:pPr>
            <w:r>
              <w:rPr>
                <w:rFonts w:ascii="Calibri" w:hAnsi="Calibri"/>
                <w:color w:val="243447"/>
                <w:sz w:val="16"/>
              </w:rPr>
              <w:t>Lookup is delayed or unavailable.</w:t>
            </w:r>
          </w:p>
        </w:tc>
        <w:tc>
          <w:tcPr>
            <w:tcW w:type="dxa" w:w="4060"/>
            <w:vAlign w:val="center"/>
            <w:tcMar>
              <w:top w:w="80" w:type="dxa"/>
              <w:start w:w="120" w:type="dxa"/>
              <w:bottom w:w="80" w:type="dxa"/>
              <w:end w:w="120" w:type="dxa"/>
            </w:tcMar>
          </w:tcPr>
          <w:p>
            <w:pPr>
              <w:spacing w:after="0" w:line="240" w:lineRule="auto"/>
            </w:pPr>
            <w:r>
              <w:rPr>
                <w:rFonts w:ascii="Calibri" w:hAnsi="Calibri"/>
                <w:color w:val="243447"/>
                <w:sz w:val="16"/>
              </w:rPr>
              <w:t>Provide clear retry behavior and evaluate offline needs after pilot evidence.</w:t>
            </w:r>
          </w:p>
        </w:tc>
      </w:tr>
      <w:tr>
        <w:tc>
          <w:tcPr>
            <w:tcW w:type="dxa" w:w="2500"/>
            <w:vAlign w:val="center"/>
            <w:tcMar>
              <w:top w:w="80" w:type="dxa"/>
              <w:start w:w="120" w:type="dxa"/>
              <w:bottom w:w="80" w:type="dxa"/>
              <w:end w:w="120" w:type="dxa"/>
            </w:tcMar>
          </w:tcPr>
          <w:p>
            <w:pPr>
              <w:spacing w:after="0" w:line="240" w:lineRule="auto"/>
            </w:pPr>
            <w:r>
              <w:rPr>
                <w:rFonts w:ascii="Calibri" w:hAnsi="Calibri"/>
                <w:color w:val="243447"/>
                <w:sz w:val="16"/>
              </w:rPr>
              <w:t>Unapproved image processing</w:t>
            </w:r>
          </w:p>
        </w:tc>
        <w:tc>
          <w:tcPr>
            <w:tcW w:type="dxa" w:w="2800"/>
            <w:vAlign w:val="center"/>
            <w:tcMar>
              <w:top w:w="80" w:type="dxa"/>
              <w:start w:w="120" w:type="dxa"/>
              <w:bottom w:w="80" w:type="dxa"/>
              <w:end w:w="120" w:type="dxa"/>
            </w:tcMar>
          </w:tcPr>
          <w:p>
            <w:pPr>
              <w:spacing w:after="0" w:line="240" w:lineRule="auto"/>
            </w:pPr>
            <w:r>
              <w:rPr>
                <w:rFonts w:ascii="Calibri" w:hAnsi="Calibri"/>
                <w:color w:val="243447"/>
                <w:sz w:val="16"/>
              </w:rPr>
              <w:t>Privacy or vendor risk.</w:t>
            </w:r>
          </w:p>
        </w:tc>
        <w:tc>
          <w:tcPr>
            <w:tcW w:type="dxa" w:w="4060"/>
            <w:vAlign w:val="center"/>
            <w:tcMar>
              <w:top w:w="80" w:type="dxa"/>
              <w:start w:w="120" w:type="dxa"/>
              <w:bottom w:w="80" w:type="dxa"/>
              <w:end w:w="120" w:type="dxa"/>
            </w:tcMar>
          </w:tcPr>
          <w:p>
            <w:pPr>
              <w:spacing w:after="0" w:line="240" w:lineRule="auto"/>
            </w:pPr>
            <w:r>
              <w:rPr>
                <w:rFonts w:ascii="Calibri" w:hAnsi="Calibri"/>
                <w:color w:val="243447"/>
                <w:sz w:val="16"/>
              </w:rPr>
              <w:t>Use transient native processing; require formal review before external-provider adoption.</w:t>
            </w:r>
          </w:p>
        </w:tc>
      </w:tr>
    </w:tbl>
    <w:p>
      <w:pPr>
        <w:spacing w:after="20"/>
      </w:pPr>
    </w:p>
    <w:p>
      <w:pPr>
        <w:pStyle w:val="Heading1"/>
        <w:keepNext/>
        <w:keepLines/>
      </w:pPr>
      <w:r>
        <w:t>16. Rollout and change management</w:t>
      </w:r>
    </w:p>
    <w:p>
      <w:pPr>
        <w:numPr>
          <w:ilvl w:val="0"/>
          <w:numId w:val="42"/>
        </w:numPr>
      </w:pPr>
      <w:r>
        <w:rPr>
          <w:rFonts w:ascii="Calibri" w:hAnsi="Calibri"/>
          <w:color w:val="243447"/>
          <w:sz w:val="22"/>
        </w:rPr>
        <w:t>Business approval: confirm scope, ownership, open-work definition, data stewardship, and pilot measures.</w:t>
      </w:r>
    </w:p>
    <w:p>
      <w:pPr>
        <w:numPr>
          <w:ilvl w:val="0"/>
          <w:numId w:val="42"/>
        </w:numPr>
      </w:pPr>
      <w:r>
        <w:rPr>
          <w:rFonts w:ascii="Calibri" w:hAnsi="Calibri"/>
          <w:color w:val="243447"/>
          <w:sz w:val="22"/>
        </w:rPr>
        <w:t>Data readiness: profile QR completeness, QR uniqueness, serial quality, Asset relationships, and Work Order closure behavior.</w:t>
      </w:r>
    </w:p>
    <w:p>
      <w:pPr>
        <w:numPr>
          <w:ilvl w:val="0"/>
          <w:numId w:val="42"/>
        </w:numPr>
      </w:pPr>
      <w:r>
        <w:rPr>
          <w:rFonts w:ascii="Calibri" w:hAnsi="Calibri"/>
          <w:color w:val="243447"/>
          <w:sz w:val="22"/>
        </w:rPr>
        <w:t>Security readiness: approve permission-set assignment, sharing outcomes, camera use, and transient image handling.</w:t>
      </w:r>
    </w:p>
    <w:p>
      <w:pPr>
        <w:numPr>
          <w:ilvl w:val="0"/>
          <w:numId w:val="42"/>
        </w:numPr>
      </w:pPr>
      <w:r>
        <w:rPr>
          <w:rFonts w:ascii="Calibri" w:hAnsi="Calibri"/>
          <w:color w:val="243447"/>
          <w:sz w:val="22"/>
        </w:rPr>
        <w:t>Pilot: assign a small FSE cohort across representative devices, sites, products, and service territories.</w:t>
      </w:r>
    </w:p>
    <w:p>
      <w:pPr>
        <w:numPr>
          <w:ilvl w:val="0"/>
          <w:numId w:val="42"/>
        </w:numPr>
      </w:pPr>
      <w:r>
        <w:rPr>
          <w:rFonts w:ascii="Calibri" w:hAnsi="Calibri"/>
          <w:color w:val="243447"/>
          <w:sz w:val="22"/>
        </w:rPr>
        <w:t>Training: provide a short mobile guide covering QR first, nameplate verification, manual fallback, and error escalation.</w:t>
      </w:r>
    </w:p>
    <w:p>
      <w:pPr>
        <w:numPr>
          <w:ilvl w:val="0"/>
          <w:numId w:val="42"/>
        </w:numPr>
      </w:pPr>
      <w:r>
        <w:rPr>
          <w:rFonts w:ascii="Calibri" w:hAnsi="Calibri"/>
          <w:color w:val="243447"/>
          <w:sz w:val="22"/>
        </w:rPr>
        <w:t>Measure and refine: review lookup success, time to open a Work Order, no-match rate, access issues, and user feedback.</w:t>
      </w:r>
    </w:p>
    <w:p>
      <w:pPr>
        <w:numPr>
          <w:ilvl w:val="0"/>
          <w:numId w:val="42"/>
        </w:numPr>
      </w:pPr>
      <w:r>
        <w:rPr>
          <w:rFonts w:ascii="Calibri" w:hAnsi="Calibri"/>
          <w:color w:val="243447"/>
          <w:sz w:val="22"/>
        </w:rPr>
        <w:t>Production rollout: proceed through standard release governance after pilot acceptance and support readiness.</w:t>
      </w:r>
    </w:p>
    <w:p>
      <w:pPr>
        <w:pStyle w:val="Heading1"/>
        <w:keepNext/>
        <w:keepLines/>
      </w:pPr>
      <w:r>
        <w:t>17. Success measures</w:t>
      </w:r>
    </w:p>
    <w:tbl>
      <w:tblPr>
        <w:tblStyle w:val="TableGrid"/>
        <w:tblW w:type="dxa" w:w="9360"/>
        <w:tblLayout w:type="fixed"/>
        <w:tblLook w:firstColumn="1" w:firstRow="1" w:lastColumn="0" w:lastRow="0" w:noHBand="0" w:noVBand="1" w:val="04A0"/>
        <w:jc w:val="left"/>
        <w:tblInd w:w="120" w:type="dxa"/>
      </w:tblPr>
      <w:tblGrid>
        <w:gridCol w:w="2250"/>
        <w:gridCol w:w="4450"/>
        <w:gridCol w:w="2660"/>
      </w:tblGrid>
      <w:tr>
        <w:trPr>
          <w:tblHeader w:val="true"/>
        </w:trPr>
        <w:tc>
          <w:tcPr>
            <w:tcW w:type="dxa" w:w="2250"/>
            <w:vAlign w:val="center"/>
            <w:tcMar>
              <w:top w:w="80" w:type="dxa"/>
              <w:start w:w="120" w:type="dxa"/>
              <w:bottom w:w="80" w:type="dxa"/>
              <w:end w:w="120" w:type="dxa"/>
            </w:tcMar>
            <w:shd w:fill="F2F4F7"/>
          </w:tcPr>
          <w:p>
            <w:pPr>
              <w:spacing w:after="0" w:line="240" w:lineRule="auto"/>
            </w:pPr>
            <w:r>
              <w:rPr>
                <w:rFonts w:ascii="Calibri" w:hAnsi="Calibri"/>
                <w:b/>
                <w:color w:val="1F4D78"/>
                <w:sz w:val="16"/>
              </w:rPr>
              <w:t>Measure</w:t>
            </w:r>
          </w:p>
        </w:tc>
        <w:tc>
          <w:tcPr>
            <w:tcW w:type="dxa" w:w="4450"/>
            <w:vAlign w:val="center"/>
            <w:tcMar>
              <w:top w:w="80" w:type="dxa"/>
              <w:start w:w="120" w:type="dxa"/>
              <w:bottom w:w="80" w:type="dxa"/>
              <w:end w:w="120" w:type="dxa"/>
            </w:tcMar>
            <w:shd w:fill="F2F4F7"/>
          </w:tcPr>
          <w:p>
            <w:pPr>
              <w:spacing w:after="0" w:line="240" w:lineRule="auto"/>
            </w:pPr>
            <w:r>
              <w:rPr>
                <w:rFonts w:ascii="Calibri" w:hAnsi="Calibri"/>
                <w:b/>
                <w:color w:val="1F4D78"/>
                <w:sz w:val="16"/>
              </w:rPr>
              <w:t>Definition</w:t>
            </w:r>
          </w:p>
        </w:tc>
        <w:tc>
          <w:tcPr>
            <w:tcW w:type="dxa" w:w="2660"/>
            <w:vAlign w:val="center"/>
            <w:tcMar>
              <w:top w:w="80" w:type="dxa"/>
              <w:start w:w="120" w:type="dxa"/>
              <w:bottom w:w="80" w:type="dxa"/>
              <w:end w:w="120" w:type="dxa"/>
            </w:tcMar>
            <w:shd w:fill="F2F4F7"/>
          </w:tcPr>
          <w:p>
            <w:pPr>
              <w:spacing w:after="0" w:line="240" w:lineRule="auto"/>
            </w:pPr>
            <w:r>
              <w:rPr>
                <w:rFonts w:ascii="Calibri" w:hAnsi="Calibri"/>
                <w:b/>
                <w:color w:val="1F4D78"/>
                <w:sz w:val="16"/>
              </w:rPr>
              <w:t>Initial target</w:t>
            </w:r>
          </w:p>
        </w:tc>
      </w:tr>
      <w:tr>
        <w:tc>
          <w:tcPr>
            <w:tcW w:type="dxa" w:w="2250"/>
            <w:vAlign w:val="center"/>
            <w:tcMar>
              <w:top w:w="80" w:type="dxa"/>
              <w:start w:w="120" w:type="dxa"/>
              <w:bottom w:w="80" w:type="dxa"/>
              <w:end w:w="120" w:type="dxa"/>
            </w:tcMar>
          </w:tcPr>
          <w:p>
            <w:pPr>
              <w:spacing w:after="0" w:line="240" w:lineRule="auto"/>
            </w:pPr>
            <w:r>
              <w:rPr>
                <w:rFonts w:ascii="Calibri" w:hAnsi="Calibri"/>
                <w:color w:val="243447"/>
                <w:sz w:val="16"/>
              </w:rPr>
              <w:t>Lookup success rate</w:t>
            </w:r>
          </w:p>
        </w:tc>
        <w:tc>
          <w:tcPr>
            <w:tcW w:type="dxa" w:w="4450"/>
            <w:vAlign w:val="center"/>
            <w:tcMar>
              <w:top w:w="80" w:type="dxa"/>
              <w:start w:w="120" w:type="dxa"/>
              <w:bottom w:w="80" w:type="dxa"/>
              <w:end w:w="120" w:type="dxa"/>
            </w:tcMar>
          </w:tcPr>
          <w:p>
            <w:pPr>
              <w:spacing w:after="0" w:line="240" w:lineRule="auto"/>
            </w:pPr>
            <w:r>
              <w:rPr>
                <w:rFonts w:ascii="Calibri" w:hAnsi="Calibri"/>
                <w:color w:val="243447"/>
                <w:sz w:val="16"/>
              </w:rPr>
              <w:t>Percent of attempts that identify the intended accessible Asset.</w:t>
            </w:r>
          </w:p>
        </w:tc>
        <w:tc>
          <w:tcPr>
            <w:tcW w:type="dxa" w:w="2660"/>
            <w:vAlign w:val="center"/>
            <w:tcMar>
              <w:top w:w="80" w:type="dxa"/>
              <w:start w:w="120" w:type="dxa"/>
              <w:bottom w:w="80" w:type="dxa"/>
              <w:end w:w="120" w:type="dxa"/>
            </w:tcMar>
          </w:tcPr>
          <w:p>
            <w:pPr>
              <w:spacing w:after="0" w:line="240" w:lineRule="auto"/>
            </w:pPr>
            <w:r>
              <w:rPr>
                <w:rFonts w:ascii="Calibri" w:hAnsi="Calibri"/>
                <w:color w:val="243447"/>
                <w:sz w:val="16"/>
              </w:rPr>
              <w:t>Baseline in pilot; target to be approved</w:t>
            </w:r>
          </w:p>
        </w:tc>
      </w:tr>
      <w:tr>
        <w:tc>
          <w:tcPr>
            <w:tcW w:type="dxa" w:w="2250"/>
            <w:vAlign w:val="center"/>
            <w:tcMar>
              <w:top w:w="80" w:type="dxa"/>
              <w:start w:w="120" w:type="dxa"/>
              <w:bottom w:w="80" w:type="dxa"/>
              <w:end w:w="120" w:type="dxa"/>
            </w:tcMar>
          </w:tcPr>
          <w:p>
            <w:pPr>
              <w:spacing w:after="0" w:line="240" w:lineRule="auto"/>
            </w:pPr>
            <w:r>
              <w:rPr>
                <w:rFonts w:ascii="Calibri" w:hAnsi="Calibri"/>
                <w:color w:val="243447"/>
                <w:sz w:val="16"/>
              </w:rPr>
              <w:t>Time to open Work Order</w:t>
            </w:r>
          </w:p>
        </w:tc>
        <w:tc>
          <w:tcPr>
            <w:tcW w:type="dxa" w:w="4450"/>
            <w:vAlign w:val="center"/>
            <w:tcMar>
              <w:top w:w="80" w:type="dxa"/>
              <w:start w:w="120" w:type="dxa"/>
              <w:bottom w:w="80" w:type="dxa"/>
              <w:end w:w="120" w:type="dxa"/>
            </w:tcMar>
          </w:tcPr>
          <w:p>
            <w:pPr>
              <w:spacing w:after="0" w:line="240" w:lineRule="auto"/>
            </w:pPr>
            <w:r>
              <w:rPr>
                <w:rFonts w:ascii="Calibri" w:hAnsi="Calibri"/>
                <w:color w:val="243447"/>
                <w:sz w:val="16"/>
              </w:rPr>
              <w:t>Median time from opening the finder to opening the selected Work Order.</w:t>
            </w:r>
          </w:p>
        </w:tc>
        <w:tc>
          <w:tcPr>
            <w:tcW w:type="dxa" w:w="2660"/>
            <w:vAlign w:val="center"/>
            <w:tcMar>
              <w:top w:w="80" w:type="dxa"/>
              <w:start w:w="120" w:type="dxa"/>
              <w:bottom w:w="80" w:type="dxa"/>
              <w:end w:w="120" w:type="dxa"/>
            </w:tcMar>
          </w:tcPr>
          <w:p>
            <w:pPr>
              <w:spacing w:after="0" w:line="240" w:lineRule="auto"/>
            </w:pPr>
            <w:r>
              <w:rPr>
                <w:rFonts w:ascii="Calibri" w:hAnsi="Calibri"/>
                <w:color w:val="243447"/>
                <w:sz w:val="16"/>
              </w:rPr>
              <w:t>Baseline in pilot; target to be approved</w:t>
            </w:r>
          </w:p>
        </w:tc>
      </w:tr>
      <w:tr>
        <w:tc>
          <w:tcPr>
            <w:tcW w:type="dxa" w:w="2250"/>
            <w:vAlign w:val="center"/>
            <w:tcMar>
              <w:top w:w="80" w:type="dxa"/>
              <w:start w:w="120" w:type="dxa"/>
              <w:bottom w:w="80" w:type="dxa"/>
              <w:end w:w="120" w:type="dxa"/>
            </w:tcMar>
          </w:tcPr>
          <w:p>
            <w:pPr>
              <w:spacing w:after="0" w:line="240" w:lineRule="auto"/>
            </w:pPr>
            <w:r>
              <w:rPr>
                <w:rFonts w:ascii="Calibri" w:hAnsi="Calibri"/>
                <w:color w:val="243447"/>
                <w:sz w:val="16"/>
              </w:rPr>
              <w:t>QR data coverage</w:t>
            </w:r>
          </w:p>
        </w:tc>
        <w:tc>
          <w:tcPr>
            <w:tcW w:type="dxa" w:w="4450"/>
            <w:vAlign w:val="center"/>
            <w:tcMar>
              <w:top w:w="80" w:type="dxa"/>
              <w:start w:w="120" w:type="dxa"/>
              <w:bottom w:w="80" w:type="dxa"/>
              <w:end w:w="120" w:type="dxa"/>
            </w:tcMar>
          </w:tcPr>
          <w:p>
            <w:pPr>
              <w:spacing w:after="0" w:line="240" w:lineRule="auto"/>
            </w:pPr>
            <w:r>
              <w:rPr>
                <w:rFonts w:ascii="Calibri" w:hAnsi="Calibri"/>
                <w:color w:val="243447"/>
                <w:sz w:val="16"/>
              </w:rPr>
              <w:t>Percent of in-scope labelled Assets with a valid unique QR identifier.</w:t>
            </w:r>
          </w:p>
        </w:tc>
        <w:tc>
          <w:tcPr>
            <w:tcW w:type="dxa" w:w="2660"/>
            <w:vAlign w:val="center"/>
            <w:tcMar>
              <w:top w:w="80" w:type="dxa"/>
              <w:start w:w="120" w:type="dxa"/>
              <w:bottom w:w="80" w:type="dxa"/>
              <w:end w:w="120" w:type="dxa"/>
            </w:tcMar>
          </w:tcPr>
          <w:p>
            <w:pPr>
              <w:spacing w:after="0" w:line="240" w:lineRule="auto"/>
            </w:pPr>
            <w:r>
              <w:rPr>
                <w:rFonts w:ascii="Calibri" w:hAnsi="Calibri"/>
                <w:color w:val="243447"/>
                <w:sz w:val="16"/>
              </w:rPr>
              <w:t>Target to be set by data owner</w:t>
            </w:r>
          </w:p>
        </w:tc>
      </w:tr>
      <w:tr>
        <w:tc>
          <w:tcPr>
            <w:tcW w:type="dxa" w:w="2250"/>
            <w:vAlign w:val="center"/>
            <w:tcMar>
              <w:top w:w="80" w:type="dxa"/>
              <w:start w:w="120" w:type="dxa"/>
              <w:bottom w:w="80" w:type="dxa"/>
              <w:end w:w="120" w:type="dxa"/>
            </w:tcMar>
          </w:tcPr>
          <w:p>
            <w:pPr>
              <w:spacing w:after="0" w:line="240" w:lineRule="auto"/>
            </w:pPr>
            <w:r>
              <w:rPr>
                <w:rFonts w:ascii="Calibri" w:hAnsi="Calibri"/>
                <w:color w:val="243447"/>
                <w:sz w:val="16"/>
              </w:rPr>
              <w:t>No-open-work rate</w:t>
            </w:r>
          </w:p>
        </w:tc>
        <w:tc>
          <w:tcPr>
            <w:tcW w:type="dxa" w:w="4450"/>
            <w:vAlign w:val="center"/>
            <w:tcMar>
              <w:top w:w="80" w:type="dxa"/>
              <w:start w:w="120" w:type="dxa"/>
              <w:bottom w:w="80" w:type="dxa"/>
              <w:end w:w="120" w:type="dxa"/>
            </w:tcMar>
          </w:tcPr>
          <w:p>
            <w:pPr>
              <w:spacing w:after="0" w:line="240" w:lineRule="auto"/>
            </w:pPr>
            <w:r>
              <w:rPr>
                <w:rFonts w:ascii="Calibri" w:hAnsi="Calibri"/>
                <w:color w:val="243447"/>
                <w:sz w:val="16"/>
              </w:rPr>
              <w:t>Percent of successful Asset identifications with no open Work Order.</w:t>
            </w:r>
          </w:p>
        </w:tc>
        <w:tc>
          <w:tcPr>
            <w:tcW w:type="dxa" w:w="2660"/>
            <w:vAlign w:val="center"/>
            <w:tcMar>
              <w:top w:w="80" w:type="dxa"/>
              <w:start w:w="120" w:type="dxa"/>
              <w:bottom w:w="80" w:type="dxa"/>
              <w:end w:w="120" w:type="dxa"/>
            </w:tcMar>
          </w:tcPr>
          <w:p>
            <w:pPr>
              <w:spacing w:after="0" w:line="240" w:lineRule="auto"/>
            </w:pPr>
            <w:r>
              <w:rPr>
                <w:rFonts w:ascii="Calibri" w:hAnsi="Calibri"/>
                <w:color w:val="243447"/>
                <w:sz w:val="16"/>
              </w:rPr>
              <w:t>Monitor for process insight</w:t>
            </w:r>
          </w:p>
        </w:tc>
      </w:tr>
      <w:tr>
        <w:tc>
          <w:tcPr>
            <w:tcW w:type="dxa" w:w="2250"/>
            <w:vAlign w:val="center"/>
            <w:tcMar>
              <w:top w:w="80" w:type="dxa"/>
              <w:start w:w="120" w:type="dxa"/>
              <w:bottom w:w="80" w:type="dxa"/>
              <w:end w:w="120" w:type="dxa"/>
            </w:tcMar>
          </w:tcPr>
          <w:p>
            <w:pPr>
              <w:spacing w:after="0" w:line="240" w:lineRule="auto"/>
            </w:pPr>
            <w:r>
              <w:rPr>
                <w:rFonts w:ascii="Calibri" w:hAnsi="Calibri"/>
                <w:color w:val="243447"/>
                <w:sz w:val="16"/>
              </w:rPr>
              <w:t>Access failure rate</w:t>
            </w:r>
          </w:p>
        </w:tc>
        <w:tc>
          <w:tcPr>
            <w:tcW w:type="dxa" w:w="4450"/>
            <w:vAlign w:val="center"/>
            <w:tcMar>
              <w:top w:w="80" w:type="dxa"/>
              <w:start w:w="120" w:type="dxa"/>
              <w:bottom w:w="80" w:type="dxa"/>
              <w:end w:w="120" w:type="dxa"/>
            </w:tcMar>
          </w:tcPr>
          <w:p>
            <w:pPr>
              <w:spacing w:after="0" w:line="240" w:lineRule="auto"/>
            </w:pPr>
            <w:r>
              <w:rPr>
                <w:rFonts w:ascii="Calibri" w:hAnsi="Calibri"/>
                <w:color w:val="243447"/>
                <w:sz w:val="16"/>
              </w:rPr>
              <w:t>Percent of attempts blocked by missing permission or sharing.</w:t>
            </w:r>
          </w:p>
        </w:tc>
        <w:tc>
          <w:tcPr>
            <w:tcW w:type="dxa" w:w="2660"/>
            <w:vAlign w:val="center"/>
            <w:tcMar>
              <w:top w:w="80" w:type="dxa"/>
              <w:start w:w="120" w:type="dxa"/>
              <w:bottom w:w="80" w:type="dxa"/>
              <w:end w:w="120" w:type="dxa"/>
            </w:tcMar>
          </w:tcPr>
          <w:p>
            <w:pPr>
              <w:spacing w:after="0" w:line="240" w:lineRule="auto"/>
            </w:pPr>
            <w:r>
              <w:rPr>
                <w:rFonts w:ascii="Calibri" w:hAnsi="Calibri"/>
                <w:color w:val="243447"/>
                <w:sz w:val="16"/>
              </w:rPr>
              <w:t>Trend toward zero after pilot</w:t>
            </w:r>
          </w:p>
        </w:tc>
      </w:tr>
      <w:tr>
        <w:tc>
          <w:tcPr>
            <w:tcW w:type="dxa" w:w="2250"/>
            <w:vAlign w:val="center"/>
            <w:tcMar>
              <w:top w:w="80" w:type="dxa"/>
              <w:start w:w="120" w:type="dxa"/>
              <w:bottom w:w="80" w:type="dxa"/>
              <w:end w:w="120" w:type="dxa"/>
            </w:tcMar>
          </w:tcPr>
          <w:p>
            <w:pPr>
              <w:spacing w:after="0" w:line="240" w:lineRule="auto"/>
            </w:pPr>
            <w:r>
              <w:rPr>
                <w:rFonts w:ascii="Calibri" w:hAnsi="Calibri"/>
                <w:color w:val="243447"/>
                <w:sz w:val="16"/>
              </w:rPr>
              <w:t>FSE adoption</w:t>
            </w:r>
          </w:p>
        </w:tc>
        <w:tc>
          <w:tcPr>
            <w:tcW w:type="dxa" w:w="4450"/>
            <w:vAlign w:val="center"/>
            <w:tcMar>
              <w:top w:w="80" w:type="dxa"/>
              <w:start w:w="120" w:type="dxa"/>
              <w:bottom w:w="80" w:type="dxa"/>
              <w:end w:w="120" w:type="dxa"/>
            </w:tcMar>
          </w:tcPr>
          <w:p>
            <w:pPr>
              <w:spacing w:after="0" w:line="240" w:lineRule="auto"/>
            </w:pPr>
            <w:r>
              <w:rPr>
                <w:rFonts w:ascii="Calibri" w:hAnsi="Calibri"/>
                <w:color w:val="243447"/>
                <w:sz w:val="16"/>
              </w:rPr>
              <w:t>Percent of pilot FSEs using the finder for eligible onsite visits.</w:t>
            </w:r>
          </w:p>
        </w:tc>
        <w:tc>
          <w:tcPr>
            <w:tcW w:type="dxa" w:w="2660"/>
            <w:vAlign w:val="center"/>
            <w:tcMar>
              <w:top w:w="80" w:type="dxa"/>
              <w:start w:w="120" w:type="dxa"/>
              <w:bottom w:w="80" w:type="dxa"/>
              <w:end w:w="120" w:type="dxa"/>
            </w:tcMar>
          </w:tcPr>
          <w:p>
            <w:pPr>
              <w:spacing w:after="0" w:line="240" w:lineRule="auto"/>
            </w:pPr>
            <w:r>
              <w:rPr>
                <w:rFonts w:ascii="Calibri" w:hAnsi="Calibri"/>
                <w:color w:val="243447"/>
                <w:sz w:val="16"/>
              </w:rPr>
              <w:t>Target to be agreed with operations</w:t>
            </w:r>
          </w:p>
        </w:tc>
      </w:tr>
    </w:tbl>
    <w:p>
      <w:pPr>
        <w:spacing w:after="20"/>
      </w:pPr>
    </w:p>
    <w:p>
      <w:pPr>
        <w:pStyle w:val="Heading1"/>
        <w:keepNext/>
        <w:keepLines/>
      </w:pPr>
      <w:r>
        <w:t>18. Decisions and open questions</w:t>
      </w:r>
    </w:p>
    <w:tbl>
      <w:tblPr>
        <w:tblStyle w:val="TableGrid"/>
        <w:tblW w:type="dxa" w:w="9360"/>
        <w:tblLayout w:type="fixed"/>
        <w:tblLook w:firstColumn="1" w:firstRow="1" w:lastColumn="0" w:lastRow="0" w:noHBand="0" w:noVBand="1" w:val="04A0"/>
        <w:jc w:val="left"/>
        <w:tblInd w:w="120" w:type="dxa"/>
      </w:tblPr>
      <w:tblGrid>
        <w:gridCol w:w="4680"/>
        <w:gridCol w:w="2920"/>
        <w:gridCol w:w="1760"/>
      </w:tblGrid>
      <w:tr>
        <w:trPr>
          <w:tblHeader w:val="true"/>
        </w:trPr>
        <w:tc>
          <w:tcPr>
            <w:tcW w:type="dxa" w:w="4680"/>
            <w:vAlign w:val="center"/>
            <w:tcMar>
              <w:top w:w="80" w:type="dxa"/>
              <w:start w:w="120" w:type="dxa"/>
              <w:bottom w:w="80" w:type="dxa"/>
              <w:end w:w="120" w:type="dxa"/>
            </w:tcMar>
            <w:shd w:fill="F2F4F7"/>
          </w:tcPr>
          <w:p>
            <w:pPr>
              <w:spacing w:after="0" w:line="240" w:lineRule="auto"/>
            </w:pPr>
            <w:r>
              <w:rPr>
                <w:rFonts w:ascii="Calibri" w:hAnsi="Calibri"/>
                <w:b/>
                <w:color w:val="1F4D78"/>
                <w:sz w:val="16"/>
              </w:rPr>
              <w:t>Decision / question</w:t>
            </w:r>
          </w:p>
        </w:tc>
        <w:tc>
          <w:tcPr>
            <w:tcW w:type="dxa" w:w="2920"/>
            <w:vAlign w:val="center"/>
            <w:tcMar>
              <w:top w:w="80" w:type="dxa"/>
              <w:start w:w="120" w:type="dxa"/>
              <w:bottom w:w="80" w:type="dxa"/>
              <w:end w:w="120" w:type="dxa"/>
            </w:tcMar>
            <w:shd w:fill="F2F4F7"/>
          </w:tcPr>
          <w:p>
            <w:pPr>
              <w:spacing w:after="0" w:line="240" w:lineRule="auto"/>
            </w:pPr>
            <w:r>
              <w:rPr>
                <w:rFonts w:ascii="Calibri" w:hAnsi="Calibri"/>
                <w:b/>
                <w:color w:val="1F4D78"/>
                <w:sz w:val="16"/>
              </w:rPr>
              <w:t>Owner</w:t>
            </w:r>
          </w:p>
        </w:tc>
        <w:tc>
          <w:tcPr>
            <w:tcW w:type="dxa" w:w="1760"/>
            <w:vAlign w:val="center"/>
            <w:tcMar>
              <w:top w:w="80" w:type="dxa"/>
              <w:start w:w="120" w:type="dxa"/>
              <w:bottom w:w="80" w:type="dxa"/>
              <w:end w:w="120" w:type="dxa"/>
            </w:tcMar>
            <w:shd w:fill="F2F4F7"/>
          </w:tcPr>
          <w:p>
            <w:pPr>
              <w:spacing w:after="0" w:line="240" w:lineRule="auto"/>
            </w:pPr>
            <w:r>
              <w:rPr>
                <w:rFonts w:ascii="Calibri" w:hAnsi="Calibri"/>
                <w:b/>
                <w:color w:val="1F4D78"/>
                <w:sz w:val="16"/>
              </w:rPr>
              <w:t>Status</w:t>
            </w:r>
          </w:p>
        </w:tc>
      </w:tr>
      <w:tr>
        <w:tc>
          <w:tcPr>
            <w:tcW w:type="dxa" w:w="4680"/>
            <w:vAlign w:val="center"/>
            <w:tcMar>
              <w:top w:w="80" w:type="dxa"/>
              <w:start w:w="120" w:type="dxa"/>
              <w:bottom w:w="80" w:type="dxa"/>
              <w:end w:w="120" w:type="dxa"/>
            </w:tcMar>
          </w:tcPr>
          <w:p>
            <w:pPr>
              <w:spacing w:after="0" w:line="240" w:lineRule="auto"/>
            </w:pPr>
            <w:r>
              <w:rPr>
                <w:rFonts w:ascii="Calibri" w:hAnsi="Calibri"/>
                <w:color w:val="243447"/>
                <w:sz w:val="16"/>
              </w:rPr>
              <w:t>Confirm the business owner and product owner for production rollout.</w:t>
            </w:r>
          </w:p>
        </w:tc>
        <w:tc>
          <w:tcPr>
            <w:tcW w:type="dxa" w:w="2920"/>
            <w:vAlign w:val="center"/>
            <w:tcMar>
              <w:top w:w="80" w:type="dxa"/>
              <w:start w:w="120" w:type="dxa"/>
              <w:bottom w:w="80" w:type="dxa"/>
              <w:end w:w="120" w:type="dxa"/>
            </w:tcMar>
          </w:tcPr>
          <w:p>
            <w:pPr>
              <w:spacing w:after="0" w:line="240" w:lineRule="auto"/>
            </w:pPr>
            <w:r>
              <w:rPr>
                <w:rFonts w:ascii="Calibri" w:hAnsi="Calibri"/>
                <w:color w:val="243447"/>
                <w:sz w:val="16"/>
              </w:rPr>
              <w:t>Field Service / Service Applications</w:t>
            </w:r>
          </w:p>
        </w:tc>
        <w:tc>
          <w:tcPr>
            <w:tcW w:type="dxa" w:w="1760"/>
            <w:vAlign w:val="center"/>
            <w:tcMar>
              <w:top w:w="80" w:type="dxa"/>
              <w:start w:w="120" w:type="dxa"/>
              <w:bottom w:w="80" w:type="dxa"/>
              <w:end w:w="120" w:type="dxa"/>
            </w:tcMar>
          </w:tcPr>
          <w:p>
            <w:pPr>
              <w:spacing w:after="0" w:line="240" w:lineRule="auto"/>
            </w:pPr>
            <w:r>
              <w:rPr>
                <w:rFonts w:ascii="Calibri" w:hAnsi="Calibri"/>
                <w:color w:val="243447"/>
                <w:sz w:val="16"/>
              </w:rPr>
              <w:t>Open</w:t>
            </w:r>
          </w:p>
        </w:tc>
      </w:tr>
      <w:tr>
        <w:tc>
          <w:tcPr>
            <w:tcW w:type="dxa" w:w="4680"/>
            <w:vAlign w:val="center"/>
            <w:tcMar>
              <w:top w:w="80" w:type="dxa"/>
              <w:start w:w="120" w:type="dxa"/>
              <w:bottom w:w="80" w:type="dxa"/>
              <w:end w:w="120" w:type="dxa"/>
            </w:tcMar>
          </w:tcPr>
          <w:p>
            <w:pPr>
              <w:spacing w:after="0" w:line="240" w:lineRule="auto"/>
            </w:pPr>
            <w:r>
              <w:rPr>
                <w:rFonts w:ascii="Calibri" w:hAnsi="Calibri"/>
                <w:color w:val="243447"/>
                <w:sz w:val="16"/>
              </w:rPr>
              <w:t>Confirm whether Is Closed = false is the final enterprise definition of open work.</w:t>
            </w:r>
          </w:p>
        </w:tc>
        <w:tc>
          <w:tcPr>
            <w:tcW w:type="dxa" w:w="2920"/>
            <w:vAlign w:val="center"/>
            <w:tcMar>
              <w:top w:w="80" w:type="dxa"/>
              <w:start w:w="120" w:type="dxa"/>
              <w:bottom w:w="80" w:type="dxa"/>
              <w:end w:w="120" w:type="dxa"/>
            </w:tcMar>
          </w:tcPr>
          <w:p>
            <w:pPr>
              <w:spacing w:after="0" w:line="240" w:lineRule="auto"/>
            </w:pPr>
            <w:r>
              <w:rPr>
                <w:rFonts w:ascii="Calibri" w:hAnsi="Calibri"/>
                <w:color w:val="243447"/>
                <w:sz w:val="16"/>
              </w:rPr>
              <w:t>Service Process Owner</w:t>
            </w:r>
          </w:p>
        </w:tc>
        <w:tc>
          <w:tcPr>
            <w:tcW w:type="dxa" w:w="1760"/>
            <w:vAlign w:val="center"/>
            <w:tcMar>
              <w:top w:w="80" w:type="dxa"/>
              <w:start w:w="120" w:type="dxa"/>
              <w:bottom w:w="80" w:type="dxa"/>
              <w:end w:w="120" w:type="dxa"/>
            </w:tcMar>
          </w:tcPr>
          <w:p>
            <w:pPr>
              <w:spacing w:after="0" w:line="240" w:lineRule="auto"/>
            </w:pPr>
            <w:r>
              <w:rPr>
                <w:rFonts w:ascii="Calibri" w:hAnsi="Calibri"/>
                <w:color w:val="243447"/>
                <w:sz w:val="16"/>
              </w:rPr>
              <w:t>Open</w:t>
            </w:r>
          </w:p>
        </w:tc>
      </w:tr>
      <w:tr>
        <w:tc>
          <w:tcPr>
            <w:tcW w:type="dxa" w:w="4680"/>
            <w:vAlign w:val="center"/>
            <w:tcMar>
              <w:top w:w="80" w:type="dxa"/>
              <w:start w:w="120" w:type="dxa"/>
              <w:bottom w:w="80" w:type="dxa"/>
              <w:end w:w="120" w:type="dxa"/>
            </w:tcMar>
          </w:tcPr>
          <w:p>
            <w:pPr>
              <w:spacing w:after="0" w:line="240" w:lineRule="auto"/>
            </w:pPr>
            <w:r>
              <w:rPr>
                <w:rFonts w:ascii="Calibri" w:hAnsi="Calibri"/>
                <w:color w:val="243447"/>
                <w:sz w:val="16"/>
              </w:rPr>
              <w:t>Confirm the in-scope Asset population and QR labelling approach.</w:t>
            </w:r>
          </w:p>
        </w:tc>
        <w:tc>
          <w:tcPr>
            <w:tcW w:type="dxa" w:w="2920"/>
            <w:vAlign w:val="center"/>
            <w:tcMar>
              <w:top w:w="80" w:type="dxa"/>
              <w:start w:w="120" w:type="dxa"/>
              <w:bottom w:w="80" w:type="dxa"/>
              <w:end w:w="120" w:type="dxa"/>
            </w:tcMar>
          </w:tcPr>
          <w:p>
            <w:pPr>
              <w:spacing w:after="0" w:line="240" w:lineRule="auto"/>
            </w:pPr>
            <w:r>
              <w:rPr>
                <w:rFonts w:ascii="Calibri" w:hAnsi="Calibri"/>
                <w:color w:val="243447"/>
                <w:sz w:val="16"/>
              </w:rPr>
              <w:t>Installed Base / Operations</w:t>
            </w:r>
          </w:p>
        </w:tc>
        <w:tc>
          <w:tcPr>
            <w:tcW w:type="dxa" w:w="1760"/>
            <w:vAlign w:val="center"/>
            <w:tcMar>
              <w:top w:w="80" w:type="dxa"/>
              <w:start w:w="120" w:type="dxa"/>
              <w:bottom w:w="80" w:type="dxa"/>
              <w:end w:w="120" w:type="dxa"/>
            </w:tcMar>
          </w:tcPr>
          <w:p>
            <w:pPr>
              <w:spacing w:after="0" w:line="240" w:lineRule="auto"/>
            </w:pPr>
            <w:r>
              <w:rPr>
                <w:rFonts w:ascii="Calibri" w:hAnsi="Calibri"/>
                <w:color w:val="243447"/>
                <w:sz w:val="16"/>
              </w:rPr>
              <w:t>Open</w:t>
            </w:r>
          </w:p>
        </w:tc>
      </w:tr>
      <w:tr>
        <w:tc>
          <w:tcPr>
            <w:tcW w:type="dxa" w:w="4680"/>
            <w:vAlign w:val="center"/>
            <w:tcMar>
              <w:top w:w="80" w:type="dxa"/>
              <w:start w:w="120" w:type="dxa"/>
              <w:bottom w:w="80" w:type="dxa"/>
              <w:end w:w="120" w:type="dxa"/>
            </w:tcMar>
          </w:tcPr>
          <w:p>
            <w:pPr>
              <w:spacing w:after="0" w:line="240" w:lineRule="auto"/>
            </w:pPr>
            <w:r>
              <w:rPr>
                <w:rFonts w:ascii="Calibri" w:hAnsi="Calibri"/>
                <w:color w:val="243447"/>
                <w:sz w:val="16"/>
              </w:rPr>
              <w:t>Define pilot success thresholds and reporting cadence.</w:t>
            </w:r>
          </w:p>
        </w:tc>
        <w:tc>
          <w:tcPr>
            <w:tcW w:type="dxa" w:w="2920"/>
            <w:vAlign w:val="center"/>
            <w:tcMar>
              <w:top w:w="80" w:type="dxa"/>
              <w:start w:w="120" w:type="dxa"/>
              <w:bottom w:w="80" w:type="dxa"/>
              <w:end w:w="120" w:type="dxa"/>
            </w:tcMar>
          </w:tcPr>
          <w:p>
            <w:pPr>
              <w:spacing w:after="0" w:line="240" w:lineRule="auto"/>
            </w:pPr>
            <w:r>
              <w:rPr>
                <w:rFonts w:ascii="Calibri" w:hAnsi="Calibri"/>
                <w:color w:val="243447"/>
                <w:sz w:val="16"/>
              </w:rPr>
              <w:t>Field Service Leadership</w:t>
            </w:r>
          </w:p>
        </w:tc>
        <w:tc>
          <w:tcPr>
            <w:tcW w:type="dxa" w:w="1760"/>
            <w:vAlign w:val="center"/>
            <w:tcMar>
              <w:top w:w="80" w:type="dxa"/>
              <w:start w:w="120" w:type="dxa"/>
              <w:bottom w:w="80" w:type="dxa"/>
              <w:end w:w="120" w:type="dxa"/>
            </w:tcMar>
          </w:tcPr>
          <w:p>
            <w:pPr>
              <w:spacing w:after="0" w:line="240" w:lineRule="auto"/>
            </w:pPr>
            <w:r>
              <w:rPr>
                <w:rFonts w:ascii="Calibri" w:hAnsi="Calibri"/>
                <w:color w:val="243447"/>
                <w:sz w:val="16"/>
              </w:rPr>
              <w:t>Open</w:t>
            </w:r>
          </w:p>
        </w:tc>
      </w:tr>
      <w:tr>
        <w:tc>
          <w:tcPr>
            <w:tcW w:type="dxa" w:w="4680"/>
            <w:vAlign w:val="center"/>
            <w:tcMar>
              <w:top w:w="80" w:type="dxa"/>
              <w:start w:w="120" w:type="dxa"/>
              <w:bottom w:w="80" w:type="dxa"/>
              <w:end w:w="120" w:type="dxa"/>
            </w:tcMar>
          </w:tcPr>
          <w:p>
            <w:pPr>
              <w:spacing w:after="0" w:line="240" w:lineRule="auto"/>
            </w:pPr>
            <w:r>
              <w:rPr>
                <w:rFonts w:ascii="Calibri" w:hAnsi="Calibri"/>
                <w:color w:val="243447"/>
                <w:sz w:val="16"/>
              </w:rPr>
              <w:t>Confirm supported managed mobile devices and minimum Salesforce mobile version.</w:t>
            </w:r>
          </w:p>
        </w:tc>
        <w:tc>
          <w:tcPr>
            <w:tcW w:type="dxa" w:w="2920"/>
            <w:vAlign w:val="center"/>
            <w:tcMar>
              <w:top w:w="80" w:type="dxa"/>
              <w:start w:w="120" w:type="dxa"/>
              <w:bottom w:w="80" w:type="dxa"/>
              <w:end w:w="120" w:type="dxa"/>
            </w:tcMar>
          </w:tcPr>
          <w:p>
            <w:pPr>
              <w:spacing w:after="0" w:line="240" w:lineRule="auto"/>
            </w:pPr>
            <w:r>
              <w:rPr>
                <w:rFonts w:ascii="Calibri" w:hAnsi="Calibri"/>
                <w:color w:val="243447"/>
                <w:sz w:val="16"/>
              </w:rPr>
              <w:t>Mobility / IT</w:t>
            </w:r>
          </w:p>
        </w:tc>
        <w:tc>
          <w:tcPr>
            <w:tcW w:type="dxa" w:w="1760"/>
            <w:vAlign w:val="center"/>
            <w:tcMar>
              <w:top w:w="80" w:type="dxa"/>
              <w:start w:w="120" w:type="dxa"/>
              <w:bottom w:w="80" w:type="dxa"/>
              <w:end w:w="120" w:type="dxa"/>
            </w:tcMar>
          </w:tcPr>
          <w:p>
            <w:pPr>
              <w:spacing w:after="0" w:line="240" w:lineRule="auto"/>
            </w:pPr>
            <w:r>
              <w:rPr>
                <w:rFonts w:ascii="Calibri" w:hAnsi="Calibri"/>
                <w:color w:val="243447"/>
                <w:sz w:val="16"/>
              </w:rPr>
              <w:t>Open</w:t>
            </w:r>
          </w:p>
        </w:tc>
      </w:tr>
      <w:tr>
        <w:tc>
          <w:tcPr>
            <w:tcW w:type="dxa" w:w="4680"/>
            <w:vAlign w:val="center"/>
            <w:tcMar>
              <w:top w:w="80" w:type="dxa"/>
              <w:start w:w="120" w:type="dxa"/>
              <w:bottom w:w="80" w:type="dxa"/>
              <w:end w:w="120" w:type="dxa"/>
            </w:tcMar>
          </w:tcPr>
          <w:p>
            <w:pPr>
              <w:spacing w:after="0" w:line="240" w:lineRule="auto"/>
            </w:pPr>
            <w:r>
              <w:rPr>
                <w:rFonts w:ascii="Calibri" w:hAnsi="Calibri"/>
                <w:color w:val="243447"/>
                <w:sz w:val="16"/>
              </w:rPr>
              <w:t>Decide whether production requires offline lookup capability.</w:t>
            </w:r>
          </w:p>
        </w:tc>
        <w:tc>
          <w:tcPr>
            <w:tcW w:type="dxa" w:w="2920"/>
            <w:vAlign w:val="center"/>
            <w:tcMar>
              <w:top w:w="80" w:type="dxa"/>
              <w:start w:w="120" w:type="dxa"/>
              <w:bottom w:w="80" w:type="dxa"/>
              <w:end w:w="120" w:type="dxa"/>
            </w:tcMar>
          </w:tcPr>
          <w:p>
            <w:pPr>
              <w:spacing w:after="0" w:line="240" w:lineRule="auto"/>
            </w:pPr>
            <w:r>
              <w:rPr>
                <w:rFonts w:ascii="Calibri" w:hAnsi="Calibri"/>
                <w:color w:val="243447"/>
                <w:sz w:val="16"/>
              </w:rPr>
              <w:t>Field Service / Architecture</w:t>
            </w:r>
          </w:p>
        </w:tc>
        <w:tc>
          <w:tcPr>
            <w:tcW w:type="dxa" w:w="1760"/>
            <w:vAlign w:val="center"/>
            <w:tcMar>
              <w:top w:w="80" w:type="dxa"/>
              <w:start w:w="120" w:type="dxa"/>
              <w:bottom w:w="80" w:type="dxa"/>
              <w:end w:w="120" w:type="dxa"/>
            </w:tcMar>
          </w:tcPr>
          <w:p>
            <w:pPr>
              <w:spacing w:after="0" w:line="240" w:lineRule="auto"/>
            </w:pPr>
            <w:r>
              <w:rPr>
                <w:rFonts w:ascii="Calibri" w:hAnsi="Calibri"/>
                <w:color w:val="243447"/>
                <w:sz w:val="16"/>
              </w:rPr>
              <w:t>Open</w:t>
            </w:r>
          </w:p>
        </w:tc>
      </w:tr>
      <w:tr>
        <w:tc>
          <w:tcPr>
            <w:tcW w:type="dxa" w:w="4680"/>
            <w:vAlign w:val="center"/>
            <w:tcMar>
              <w:top w:w="80" w:type="dxa"/>
              <w:start w:w="120" w:type="dxa"/>
              <w:bottom w:w="80" w:type="dxa"/>
              <w:end w:w="120" w:type="dxa"/>
            </w:tcMar>
          </w:tcPr>
          <w:p>
            <w:pPr>
              <w:spacing w:after="0" w:line="240" w:lineRule="auto"/>
            </w:pPr>
            <w:r>
              <w:rPr>
                <w:rFonts w:ascii="Calibri" w:hAnsi="Calibri"/>
                <w:color w:val="243447"/>
                <w:sz w:val="16"/>
              </w:rPr>
              <w:t>Decide whether an approved external image-recognition provider is needed after native OCR evaluation.</w:t>
            </w:r>
          </w:p>
        </w:tc>
        <w:tc>
          <w:tcPr>
            <w:tcW w:type="dxa" w:w="2920"/>
            <w:vAlign w:val="center"/>
            <w:tcMar>
              <w:top w:w="80" w:type="dxa"/>
              <w:start w:w="120" w:type="dxa"/>
              <w:bottom w:w="80" w:type="dxa"/>
              <w:end w:w="120" w:type="dxa"/>
            </w:tcMar>
          </w:tcPr>
          <w:p>
            <w:pPr>
              <w:spacing w:after="0" w:line="240" w:lineRule="auto"/>
            </w:pPr>
            <w:r>
              <w:rPr>
                <w:rFonts w:ascii="Calibri" w:hAnsi="Calibri"/>
                <w:color w:val="243447"/>
                <w:sz w:val="16"/>
              </w:rPr>
              <w:t>Security / Architecture / Business</w:t>
            </w:r>
          </w:p>
        </w:tc>
        <w:tc>
          <w:tcPr>
            <w:tcW w:type="dxa" w:w="1760"/>
            <w:vAlign w:val="center"/>
            <w:tcMar>
              <w:top w:w="80" w:type="dxa"/>
              <w:start w:w="120" w:type="dxa"/>
              <w:bottom w:w="80" w:type="dxa"/>
              <w:end w:w="120" w:type="dxa"/>
            </w:tcMar>
          </w:tcPr>
          <w:p>
            <w:pPr>
              <w:spacing w:after="0" w:line="240" w:lineRule="auto"/>
            </w:pPr>
            <w:r>
              <w:rPr>
                <w:rFonts w:ascii="Calibri" w:hAnsi="Calibri"/>
                <w:color w:val="243447"/>
                <w:sz w:val="16"/>
              </w:rPr>
              <w:t>Open</w:t>
            </w:r>
          </w:p>
        </w:tc>
      </w:tr>
    </w:tbl>
    <w:p>
      <w:pPr>
        <w:spacing w:after="20"/>
      </w:pPr>
    </w:p>
    <w:p>
      <w:pPr>
        <w:pStyle w:val="Heading1"/>
        <w:keepNext/>
        <w:keepLines/>
      </w:pPr>
      <w:r>
        <w:t>19. Validation status</w:t>
      </w:r>
    </w:p>
    <w:p>
      <w:r>
        <w:rPr>
          <w:rFonts w:ascii="Calibri" w:hAnsi="Calibri"/>
          <w:color w:val="243447"/>
          <w:sz w:val="22"/>
        </w:rPr>
        <w:t>A working implementation has been deployed to the newMBD scratch org for validation. The deployment included the mobile component, server-side lookup, permission set, mobile App Page, navigation tab, and supporting nameplate-candidate behavior. Eleven relevant automated tests passed with no failures. This technical validation does not replace business acceptance testing or production release approval.</w:t>
      </w:r>
    </w:p>
    <w:p>
      <w:pPr>
        <w:pStyle w:val="Heading1"/>
        <w:keepNext/>
        <w:keepLines/>
      </w:pPr>
      <w:r>
        <w:t>20. Approval</w:t>
      </w:r>
    </w:p>
    <w:p>
      <w:r>
        <w:rPr>
          <w:rFonts w:ascii="Calibri" w:hAnsi="Calibri"/>
          <w:color w:val="243447"/>
          <w:sz w:val="22"/>
        </w:rPr>
        <w:t>Approval confirms agreement with the business scope and requirements in this document. It does not by itself authorize production deployment.</w:t>
      </w:r>
    </w:p>
    <w:tbl>
      <w:tblPr>
        <w:tblStyle w:val="TableGrid"/>
        <w:tblW w:type="dxa" w:w="9360"/>
        <w:tblLayout w:type="fixed"/>
        <w:tblLook w:firstColumn="1" w:firstRow="1" w:lastColumn="0" w:lastRow="0" w:noHBand="0" w:noVBand="1" w:val="04A0"/>
        <w:jc w:val="left"/>
        <w:tblInd w:w="120" w:type="dxa"/>
      </w:tblPr>
      <w:tblGrid>
        <w:gridCol w:w="2400"/>
        <w:gridCol w:w="2400"/>
        <w:gridCol w:w="2560"/>
        <w:gridCol w:w="2000"/>
      </w:tblGrid>
      <w:tr>
        <w:trPr>
          <w:tblHeader w:val="true"/>
        </w:trPr>
        <w:tc>
          <w:tcPr>
            <w:tcW w:type="dxa" w:w="2400"/>
            <w:vAlign w:val="center"/>
            <w:tcMar>
              <w:top w:w="80" w:type="dxa"/>
              <w:start w:w="120" w:type="dxa"/>
              <w:bottom w:w="80" w:type="dxa"/>
              <w:end w:w="120" w:type="dxa"/>
            </w:tcMar>
            <w:shd w:fill="F2F4F7"/>
          </w:tcPr>
          <w:p>
            <w:pPr>
              <w:spacing w:after="0" w:line="240" w:lineRule="auto"/>
            </w:pPr>
            <w:r>
              <w:rPr>
                <w:rFonts w:ascii="Calibri" w:hAnsi="Calibri"/>
                <w:b/>
                <w:color w:val="1F4D78"/>
                <w:sz w:val="18"/>
              </w:rPr>
              <w:t>Role</w:t>
            </w:r>
          </w:p>
        </w:tc>
        <w:tc>
          <w:tcPr>
            <w:tcW w:type="dxa" w:w="2400"/>
            <w:vAlign w:val="center"/>
            <w:tcMar>
              <w:top w:w="80" w:type="dxa"/>
              <w:start w:w="120" w:type="dxa"/>
              <w:bottom w:w="80" w:type="dxa"/>
              <w:end w:w="120" w:type="dxa"/>
            </w:tcMar>
            <w:shd w:fill="F2F4F7"/>
          </w:tcPr>
          <w:p>
            <w:pPr>
              <w:spacing w:after="0" w:line="240" w:lineRule="auto"/>
            </w:pPr>
            <w:r>
              <w:rPr>
                <w:rFonts w:ascii="Calibri" w:hAnsi="Calibri"/>
                <w:b/>
                <w:color w:val="1F4D78"/>
                <w:sz w:val="18"/>
              </w:rPr>
              <w:t>Name</w:t>
            </w:r>
          </w:p>
        </w:tc>
        <w:tc>
          <w:tcPr>
            <w:tcW w:type="dxa" w:w="2560"/>
            <w:vAlign w:val="center"/>
            <w:tcMar>
              <w:top w:w="80" w:type="dxa"/>
              <w:start w:w="120" w:type="dxa"/>
              <w:bottom w:w="80" w:type="dxa"/>
              <w:end w:w="120" w:type="dxa"/>
            </w:tcMar>
            <w:shd w:fill="F2F4F7"/>
          </w:tcPr>
          <w:p>
            <w:pPr>
              <w:spacing w:after="0" w:line="240" w:lineRule="auto"/>
            </w:pPr>
            <w:r>
              <w:rPr>
                <w:rFonts w:ascii="Calibri" w:hAnsi="Calibri"/>
                <w:b/>
                <w:color w:val="1F4D78"/>
                <w:sz w:val="18"/>
              </w:rPr>
              <w:t>Decision</w:t>
            </w:r>
          </w:p>
        </w:tc>
        <w:tc>
          <w:tcPr>
            <w:tcW w:type="dxa" w:w="2000"/>
            <w:vAlign w:val="center"/>
            <w:tcMar>
              <w:top w:w="80" w:type="dxa"/>
              <w:start w:w="120" w:type="dxa"/>
              <w:bottom w:w="80" w:type="dxa"/>
              <w:end w:w="120" w:type="dxa"/>
            </w:tcMar>
            <w:shd w:fill="F2F4F7"/>
          </w:tcPr>
          <w:p>
            <w:pPr>
              <w:spacing w:after="0" w:line="240" w:lineRule="auto"/>
            </w:pPr>
            <w:r>
              <w:rPr>
                <w:rFonts w:ascii="Calibri" w:hAnsi="Calibri"/>
                <w:b/>
                <w:color w:val="1F4D78"/>
                <w:sz w:val="18"/>
              </w:rPr>
              <w:t>Date</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t>Business Owner</w:t>
            </w:r>
          </w:p>
        </w:tc>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r>
          </w:p>
        </w:tc>
        <w:tc>
          <w:tcPr>
            <w:tcW w:type="dxa" w:w="2560"/>
            <w:vAlign w:val="center"/>
            <w:tcMar>
              <w:top w:w="80" w:type="dxa"/>
              <w:start w:w="120" w:type="dxa"/>
              <w:bottom w:w="80" w:type="dxa"/>
              <w:end w:w="120" w:type="dxa"/>
            </w:tcMar>
          </w:tcPr>
          <w:p>
            <w:pPr>
              <w:spacing w:after="0" w:line="240" w:lineRule="auto"/>
            </w:pPr>
            <w:r>
              <w:rPr>
                <w:rFonts w:ascii="Calibri" w:hAnsi="Calibri"/>
                <w:color w:val="243447"/>
                <w:sz w:val="18"/>
              </w:rPr>
              <w:t>Approve / Reject</w:t>
            </w:r>
          </w:p>
        </w:tc>
        <w:tc>
          <w:tcPr>
            <w:tcW w:type="dxa" w:w="2000"/>
            <w:vAlign w:val="center"/>
            <w:tcMar>
              <w:top w:w="80" w:type="dxa"/>
              <w:start w:w="120" w:type="dxa"/>
              <w:bottom w:w="80" w:type="dxa"/>
              <w:end w:w="120" w:type="dxa"/>
            </w:tcMar>
          </w:tcPr>
          <w:p>
            <w:pPr>
              <w:spacing w:after="0" w:line="240" w:lineRule="auto"/>
            </w:pPr>
            <w:r>
              <w:rPr>
                <w:rFonts w:ascii="Calibri" w:hAnsi="Calibri"/>
                <w:color w:val="243447"/>
                <w:sz w:val="18"/>
              </w:rPr>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t>Field Service Operations</w:t>
            </w:r>
          </w:p>
        </w:tc>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r>
          </w:p>
        </w:tc>
        <w:tc>
          <w:tcPr>
            <w:tcW w:type="dxa" w:w="2560"/>
            <w:vAlign w:val="center"/>
            <w:tcMar>
              <w:top w:w="80" w:type="dxa"/>
              <w:start w:w="120" w:type="dxa"/>
              <w:bottom w:w="80" w:type="dxa"/>
              <w:end w:w="120" w:type="dxa"/>
            </w:tcMar>
          </w:tcPr>
          <w:p>
            <w:pPr>
              <w:spacing w:after="0" w:line="240" w:lineRule="auto"/>
            </w:pPr>
            <w:r>
              <w:rPr>
                <w:rFonts w:ascii="Calibri" w:hAnsi="Calibri"/>
                <w:color w:val="243447"/>
                <w:sz w:val="18"/>
              </w:rPr>
              <w:t>Approve / Reject</w:t>
            </w:r>
          </w:p>
        </w:tc>
        <w:tc>
          <w:tcPr>
            <w:tcW w:type="dxa" w:w="2000"/>
            <w:vAlign w:val="center"/>
            <w:tcMar>
              <w:top w:w="80" w:type="dxa"/>
              <w:start w:w="120" w:type="dxa"/>
              <w:bottom w:w="80" w:type="dxa"/>
              <w:end w:w="120" w:type="dxa"/>
            </w:tcMar>
          </w:tcPr>
          <w:p>
            <w:pPr>
              <w:spacing w:after="0" w:line="240" w:lineRule="auto"/>
            </w:pPr>
            <w:r>
              <w:rPr>
                <w:rFonts w:ascii="Calibri" w:hAnsi="Calibri"/>
                <w:color w:val="243447"/>
                <w:sz w:val="18"/>
              </w:rPr>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t>Salesforce Product Owner</w:t>
            </w:r>
          </w:p>
        </w:tc>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r>
          </w:p>
        </w:tc>
        <w:tc>
          <w:tcPr>
            <w:tcW w:type="dxa" w:w="2560"/>
            <w:vAlign w:val="center"/>
            <w:tcMar>
              <w:top w:w="80" w:type="dxa"/>
              <w:start w:w="120" w:type="dxa"/>
              <w:bottom w:w="80" w:type="dxa"/>
              <w:end w:w="120" w:type="dxa"/>
            </w:tcMar>
          </w:tcPr>
          <w:p>
            <w:pPr>
              <w:spacing w:after="0" w:line="240" w:lineRule="auto"/>
            </w:pPr>
            <w:r>
              <w:rPr>
                <w:rFonts w:ascii="Calibri" w:hAnsi="Calibri"/>
                <w:color w:val="243447"/>
                <w:sz w:val="18"/>
              </w:rPr>
              <w:t>Approve / Reject</w:t>
            </w:r>
          </w:p>
        </w:tc>
        <w:tc>
          <w:tcPr>
            <w:tcW w:type="dxa" w:w="2000"/>
            <w:vAlign w:val="center"/>
            <w:tcMar>
              <w:top w:w="80" w:type="dxa"/>
              <w:start w:w="120" w:type="dxa"/>
              <w:bottom w:w="80" w:type="dxa"/>
              <w:end w:w="120" w:type="dxa"/>
            </w:tcMar>
          </w:tcPr>
          <w:p>
            <w:pPr>
              <w:spacing w:after="0" w:line="240" w:lineRule="auto"/>
            </w:pPr>
            <w:r>
              <w:rPr>
                <w:rFonts w:ascii="Calibri" w:hAnsi="Calibri"/>
                <w:color w:val="243447"/>
                <w:sz w:val="18"/>
              </w:rPr>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t>Information Security / Privacy</w:t>
            </w:r>
          </w:p>
        </w:tc>
        <w:tc>
          <w:tcPr>
            <w:tcW w:type="dxa" w:w="2400"/>
            <w:vAlign w:val="center"/>
            <w:tcMar>
              <w:top w:w="80" w:type="dxa"/>
              <w:start w:w="120" w:type="dxa"/>
              <w:bottom w:w="80" w:type="dxa"/>
              <w:end w:w="120" w:type="dxa"/>
            </w:tcMar>
          </w:tcPr>
          <w:p>
            <w:pPr>
              <w:spacing w:after="0" w:line="240" w:lineRule="auto"/>
            </w:pPr>
            <w:r>
              <w:rPr>
                <w:rFonts w:ascii="Calibri" w:hAnsi="Calibri"/>
                <w:color w:val="243447"/>
                <w:sz w:val="18"/>
              </w:rPr>
            </w:r>
          </w:p>
        </w:tc>
        <w:tc>
          <w:tcPr>
            <w:tcW w:type="dxa" w:w="2560"/>
            <w:vAlign w:val="center"/>
            <w:tcMar>
              <w:top w:w="80" w:type="dxa"/>
              <w:start w:w="120" w:type="dxa"/>
              <w:bottom w:w="80" w:type="dxa"/>
              <w:end w:w="120" w:type="dxa"/>
            </w:tcMar>
          </w:tcPr>
          <w:p>
            <w:pPr>
              <w:spacing w:after="0" w:line="240" w:lineRule="auto"/>
            </w:pPr>
            <w:r>
              <w:rPr>
                <w:rFonts w:ascii="Calibri" w:hAnsi="Calibri"/>
                <w:color w:val="243447"/>
                <w:sz w:val="18"/>
              </w:rPr>
              <w:t>Approve / Reject</w:t>
            </w:r>
          </w:p>
        </w:tc>
        <w:tc>
          <w:tcPr>
            <w:tcW w:type="dxa" w:w="2000"/>
            <w:vAlign w:val="center"/>
            <w:tcMar>
              <w:top w:w="80" w:type="dxa"/>
              <w:start w:w="120" w:type="dxa"/>
              <w:bottom w:w="80" w:type="dxa"/>
              <w:end w:w="120" w:type="dxa"/>
            </w:tcMar>
          </w:tcPr>
          <w:p>
            <w:pPr>
              <w:spacing w:after="0" w:line="240" w:lineRule="auto"/>
            </w:pPr>
            <w:r>
              <w:rPr>
                <w:rFonts w:ascii="Calibri" w:hAnsi="Calibri"/>
                <w:color w:val="243447"/>
                <w:sz w:val="18"/>
              </w:rPr>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Internal business review</w:t>
    </w:r>
    <w:r>
      <w:tab/>
    </w:r>
    <w:r>
      <w:rPr>
        <w:rFonts w:ascii="Calibri" w:hAnsi="Calibri"/>
        <w:color w:val="667085"/>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7085"/>
        <w:sz w:val="17"/>
      </w:rPr>
      <w:t>BUSINESS REQUIREMENTS DOCUMENT</w:t>
    </w:r>
    <w:r>
      <w:tab/>
    </w:r>
    <w:r>
      <w:rPr>
        <w:rFonts w:ascii="Calibri" w:hAnsi="Calibri"/>
        <w:color w:val="667085"/>
        <w:sz w:val="17"/>
      </w:rPr>
      <w:t>Salesforce Mobile Asset Work Order Finder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41">
    <w:abstractNumId w:val="41"/>
  </w:num>
  <w:abstractNum w:abstractNumId="42">
    <w:multiLevelType w:val="singleLevel"/>
    <w:lvl w:ilvl="0">
      <w:start w:val="1"/>
      <w:numFmt w:val="decimal"/>
      <w:lvlText w:val="%1."/>
      <w:lvlJc w:val="left"/>
      <w:pPr>
        <w:tabs>
          <w:tab w:val="num" w:pos="720"/>
        </w:tabs>
        <w:ind w:left="720" w:hanging="360"/>
        <w:spacing w:after="160" w:line="28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Salesforce Mobile Asset Work Order Finder</dc:title>
  <dc:subject>Onsite Asset identification and open Work Order access</dc:subject>
  <dc:creator>Service Applications</dc:creator>
  <cp:keywords>Salesforce, mobile, asset, work order, QR, field service, BRD</cp:keywords>
  <dc:description>generated by python-docx</dc:description>
  <cp:lastModifiedBy/>
  <cp:revision>1</cp:revision>
  <dcterms:created xsi:type="dcterms:W3CDTF">2013-12-23T23:15:00Z</dcterms:created>
  <dcterms:modified xsi:type="dcterms:W3CDTF">2013-12-23T23:15:00Z</dcterms:modified>
  <cp:category/>
</cp:coreProperties>
</file>