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40"/>
        <w:jc w:val="center"/>
      </w:pPr>
      <w:r>
        <w:rPr>
          <w:rFonts w:ascii="Arial" w:hAnsi="Arial"/>
          <w:b/>
          <w:i w:val="0"/>
          <w:color w:val="2E74B5"/>
          <w:sz w:val="20"/>
        </w:rPr>
        <w:t>STANDARD OPERATING PROCEDURE</w:t>
      </w:r>
    </w:p>
    <w:p>
      <w:pPr>
        <w:spacing w:after="160"/>
        <w:jc w:val="center"/>
      </w:pPr>
      <w:r>
        <w:rPr>
          <w:rFonts w:ascii="Arial" w:hAnsi="Arial"/>
          <w:b/>
          <w:i w:val="0"/>
          <w:color w:val="1F4E79"/>
          <w:sz w:val="50"/>
        </w:rPr>
        <w:t>Application Governance Procedures</w:t>
      </w:r>
    </w:p>
    <w:p>
      <w:pPr>
        <w:spacing w:after="480"/>
        <w:jc w:val="center"/>
      </w:pPr>
      <w:r>
        <w:rPr>
          <w:rFonts w:ascii="Arial" w:hAnsi="Arial"/>
          <w:b w:val="0"/>
          <w:i w:val="0"/>
          <w:color w:val="666666"/>
          <w:sz w:val="25"/>
        </w:rPr>
        <w:t>Generic lifecycle governance framework for business-owned applications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Control</w:t>
            </w:r>
          </w:p>
        </w:tc>
        <w:tc>
          <w:tcPr>
            <w:tcW w:type="dxa" w:w="69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Value</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Process Owner</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IT Owner</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Governance Body</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Application Governance Board</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Core Membership</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Two Regional Business Stakeholders; IT Owner; QA/RA Stakeholder</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Review Cycle</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At least annually and upon material process, regulatory, or technology change</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Confidentiality</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Internal Use</w:t>
            </w:r>
          </w:p>
        </w:tc>
      </w:tr>
    </w:tbl>
    <w:p>
      <w:pPr>
        <w:spacing w:after="60"/>
      </w:pPr>
    </w:p>
    <w:p>
      <w:pPr>
        <w:spacing w:before="200" w:after="80"/>
      </w:pPr>
      <w:r>
        <w:rPr>
          <w:rFonts w:ascii="Arial" w:hAnsi="Arial"/>
          <w:b/>
          <w:i w:val="0"/>
          <w:color w:val="1F4E79"/>
          <w:sz w:val="22"/>
        </w:rPr>
        <w:t>Approval</w:t>
      </w:r>
    </w:p>
    <w:tbl>
      <w:tblPr>
        <w:tblStyle w:val="TableGrid"/>
        <w:tblW w:type="dxa" w:w="9360"/>
        <w:jc w:val="left"/>
        <w:tblLayout w:type="fixed"/>
        <w:tblLook w:firstColumn="1" w:firstRow="1" w:lastColumn="0" w:lastRow="0" w:noHBand="0" w:noVBand="1" w:val="04A0"/>
        <w:tblInd w:w="120" w:type="dxa"/>
      </w:tblPr>
      <w:tblGrid>
        <w:gridCol w:w="3300"/>
        <w:gridCol w:w="3960"/>
        <w:gridCol w:w="2100"/>
      </w:tblGrid>
      <w:tr>
        <w:trPr>
          <w:tblHeader w:val="true"/>
        </w:trPr>
        <w:tc>
          <w:tcPr>
            <w:tcW w:type="dxa" w:w="33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Role</w:t>
            </w:r>
          </w:p>
        </w:tc>
        <w:tc>
          <w:tcPr>
            <w:tcW w:type="dxa" w:w="39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Approval / Signature</w:t>
            </w:r>
          </w:p>
        </w:tc>
        <w:tc>
          <w:tcPr>
            <w:tcW w:type="dxa" w:w="21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Date</w:t>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IT Owner</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Regional Business Stakeholder 1</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Regional Business Stakeholder 2</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QA/RA Stakeholder</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bl>
    <w:p>
      <w:pPr>
        <w:spacing w:after="60"/>
      </w:pPr>
    </w:p>
    <w:p>
      <w:r>
        <w:br w:type="page"/>
      </w:r>
    </w:p>
    <w:p>
      <w:pPr>
        <w:pStyle w:val="Heading1"/>
        <w:keepNext/>
      </w:pPr>
      <w:r>
        <w:t>Contents</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Section</w:t>
            </w:r>
          </w:p>
        </w:tc>
        <w:tc>
          <w:tcPr>
            <w:tcW w:type="dxa" w:w="78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Title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Purpose and Scope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2</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Terms, Definitions, and Abbreviations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3</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Governance Principles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4</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Roles and Responsibilities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5</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Application Governance Board</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6</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Board Membership and Onboarding</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7</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Change Management</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8</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Change Implementation</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9</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Documentation and Lifecycle Controls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10</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Vendor Releases and Maintenance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11</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Application Support and Escalation</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12</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Training and Compliance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13</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Related Documents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14</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Document History</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Addendum 1</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Governance Board Membership Register</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Addendum 2</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Change Request Minimum Data Set</w:t>
            </w:r>
          </w:p>
        </w:tc>
      </w:tr>
    </w:tbl>
    <w:p>
      <w:pPr>
        <w:spacing w:after="60"/>
      </w:pPr>
    </w:p>
    <w:p>
      <w:r>
        <w:br w:type="page"/>
      </w:r>
    </w:p>
    <w:p>
      <w:pPr>
        <w:pStyle w:val="Heading1"/>
        <w:keepNext/>
      </w:pPr>
      <w:r>
        <w:t>1. Purpose and Scope</w:t>
      </w:r>
    </w:p>
    <w:p>
      <w:pPr>
        <w:spacing w:after="140" w:line="276" w:lineRule="auto"/>
      </w:pPr>
      <w:r>
        <w:rPr>
          <w:rFonts w:ascii="Arial" w:hAnsi="Arial"/>
          <w:b w:val="0"/>
          <w:i w:val="0"/>
          <w:color w:val="000000"/>
          <w:sz w:val="21"/>
        </w:rPr>
        <w:t>This Standard Operating Procedure (SOP) establishes the governance framework for an application throughout its lifecycle. It defines decision rights, oversight responsibilities, change control, release governance, documentation expectations, and support escalation.</w:t>
      </w:r>
    </w:p>
    <w:p>
      <w:pPr>
        <w:spacing w:after="140" w:line="276" w:lineRule="auto"/>
      </w:pPr>
      <w:r>
        <w:rPr>
          <w:rFonts w:ascii="Arial" w:hAnsi="Arial"/>
          <w:b w:val="0"/>
          <w:i w:val="0"/>
          <w:color w:val="000000"/>
          <w:sz w:val="21"/>
        </w:rPr>
        <w:t>This SOP applies to the Application Governance Board, application administrators, developers, subject matter experts, testers, support teams, vendors, and any person who requests, assesses, approves, implements, verifies, or documents a change to the application.</w:t>
      </w:r>
    </w:p>
    <w:p>
      <w:pPr>
        <w:spacing w:after="140" w:line="276" w:lineRule="auto"/>
      </w:pPr>
      <w:r>
        <w:rPr>
          <w:rFonts w:ascii="Arial" w:hAnsi="Arial"/>
          <w:b w:val="0"/>
          <w:i w:val="0"/>
          <w:color w:val="000000"/>
          <w:sz w:val="21"/>
        </w:rPr>
        <w:t>This SOP is intentionally application-neutral. Application-specific system descriptions, validation plans, work instructions, support procedures, access rules, and business continuity plans shall be maintained separately and referenced from the approved document management system.</w:t>
      </w:r>
    </w:p>
    <w:p>
      <w:pPr>
        <w:pStyle w:val="Heading1"/>
        <w:keepNext/>
      </w:pPr>
      <w:r>
        <w:t>2. Terms, Definitions, and Abbreviations</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Term</w:t>
            </w:r>
          </w:p>
        </w:tc>
        <w:tc>
          <w:tcPr>
            <w:tcW w:type="dxa" w:w="701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Definition</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Application</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The business application, platform, interfaces, configurations, data, and supporting services governed under this SOP.</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Application Governance Board (AGB)</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The four-member decision-making body consisting of two Regional Business Stakeholders, the IT Owner, and one QA/RA Stakeholder.</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Change Request (CR)</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 documented request to add, modify, correct, retire, or otherwise alter application functionality, configuration, integration, data handling, access, or supporting processes.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GxP</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Applicable good practice requirements governing regulated activities, records, systems, or processes.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QA/RA</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Quality Assurance / Regulatory Affairs.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Validated State</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The condition in which documented evidence demonstrates that the application remains fit for its intended use and meets approved requirements.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Emergency Change</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 change that must be expedited to restore service, address a critical security exposure, protect data integrity, or mitigate an immediate quality, regulatory, patient, or business risk.</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Release</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 coordinated set of approved changes deployed to a controlled environment or production.</w:t>
            </w:r>
          </w:p>
        </w:tc>
      </w:tr>
    </w:tbl>
    <w:p>
      <w:pPr>
        <w:spacing w:after="60"/>
      </w:pPr>
    </w:p>
    <w:p>
      <w:pPr>
        <w:pStyle w:val="Heading1"/>
        <w:keepNext/>
      </w:pPr>
      <w:r>
        <w:t>3. Governance Principles</w:t>
      </w:r>
    </w:p>
    <w:p>
      <w:pPr>
        <w:numPr>
          <w:ilvl w:val="0"/>
          <w:numId w:val="41"/>
        </w:numPr>
        <w:spacing w:after="80" w:line="276" w:lineRule="auto"/>
      </w:pPr>
      <w:r>
        <w:rPr>
          <w:rFonts w:ascii="Arial" w:hAnsi="Arial"/>
          <w:b w:val="0"/>
          <w:i w:val="0"/>
          <w:color w:val="000000"/>
          <w:sz w:val="21"/>
        </w:rPr>
        <w:t>Business value, user impact, technical feasibility, quality and regulatory impact, security, data integrity, and lifecycle cost shall be considered before a decision is made.</w:t>
      </w:r>
    </w:p>
    <w:p>
      <w:pPr>
        <w:numPr>
          <w:ilvl w:val="0"/>
          <w:numId w:val="41"/>
        </w:numPr>
        <w:spacing w:after="80" w:line="276" w:lineRule="auto"/>
      </w:pPr>
      <w:r>
        <w:rPr>
          <w:rFonts w:ascii="Arial" w:hAnsi="Arial"/>
          <w:b w:val="0"/>
          <w:i w:val="0"/>
          <w:color w:val="000000"/>
          <w:sz w:val="21"/>
        </w:rPr>
        <w:t>Decisions shall be traceable to an agenda item, change request, risk assessment, meeting record, or documented approval.</w:t>
      </w:r>
    </w:p>
    <w:p>
      <w:pPr>
        <w:numPr>
          <w:ilvl w:val="0"/>
          <w:numId w:val="41"/>
        </w:numPr>
        <w:spacing w:after="80" w:line="276" w:lineRule="auto"/>
      </w:pPr>
      <w:r>
        <w:rPr>
          <w:rFonts w:ascii="Arial" w:hAnsi="Arial"/>
          <w:b w:val="0"/>
          <w:i w:val="0"/>
          <w:color w:val="000000"/>
          <w:sz w:val="21"/>
        </w:rPr>
        <w:t>No member may approve work solely on behalf of another role when the absent role's concurrence is required by this SOP.</w:t>
      </w:r>
    </w:p>
    <w:p>
      <w:pPr>
        <w:numPr>
          <w:ilvl w:val="0"/>
          <w:numId w:val="41"/>
        </w:numPr>
        <w:spacing w:after="80" w:line="276" w:lineRule="auto"/>
      </w:pPr>
      <w:r>
        <w:rPr>
          <w:rFonts w:ascii="Arial" w:hAnsi="Arial"/>
          <w:b w:val="0"/>
          <w:i w:val="0"/>
          <w:color w:val="000000"/>
          <w:sz w:val="21"/>
        </w:rPr>
        <w:t>Changes shall follow the organization's approved change-management and validation procedures before production deployment.</w:t>
      </w:r>
    </w:p>
    <w:p>
      <w:pPr>
        <w:numPr>
          <w:ilvl w:val="0"/>
          <w:numId w:val="41"/>
        </w:numPr>
        <w:spacing w:after="80" w:line="276" w:lineRule="auto"/>
      </w:pPr>
      <w:r>
        <w:rPr>
          <w:rFonts w:ascii="Arial" w:hAnsi="Arial"/>
          <w:b w:val="0"/>
          <w:i w:val="0"/>
          <w:color w:val="000000"/>
          <w:sz w:val="21"/>
        </w:rPr>
        <w:t>The governance model is based on regional representation and does not create additional business seats or approval layers.</w:t>
      </w:r>
    </w:p>
    <w:p>
      <w:r>
        <w:br w:type="page"/>
      </w:r>
    </w:p>
    <w:p>
      <w:pPr>
        <w:pStyle w:val="Heading1"/>
        <w:keepNext/>
      </w:pPr>
      <w:r>
        <w:t>4. Roles and Responsibilities</w:t>
      </w:r>
    </w:p>
    <w:p>
      <w:pPr>
        <w:pStyle w:val="Heading2"/>
        <w:keepNext/>
      </w:pPr>
      <w:r>
        <w:t>4.1 Core Governance Members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Role</w:t>
            </w:r>
          </w:p>
        </w:tc>
        <w:tc>
          <w:tcPr>
            <w:tcW w:type="dxa" w:w="67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Responsibilities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1</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Represents business needs, risks, adoption, and process impacts for the assigned region; gathers regional input; assesses user acceptance; votes on priorities and releases; nominates a trained proxy when permitted.</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2</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Performs the same responsibilities for the other assigned region and ensures that cross-regional process consistency and local requirements are considered.</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Owns application technology oversight; chairs and moderates AGB meetings; maintains the roadmap and change register; advises on architecture, security, integration, supportability, cost, and technical feasibility; ensures approved changes follow IT change control.</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QA/RA Stakeholder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Assesses quality, regulatory, validation, data-integrity, record-retention, and procedural impacts; determines required quality records and validation evidence; provides mandatory concurrence for regulated or quality-impacting changes.</w:t>
            </w:r>
          </w:p>
        </w:tc>
      </w:tr>
    </w:tbl>
    <w:p>
      <w:pPr>
        <w:spacing w:after="60"/>
      </w:pPr>
    </w:p>
    <w:p>
      <w:pPr>
        <w:pStyle w:val="Heading2"/>
        <w:keepNext/>
      </w:pPr>
      <w:r>
        <w:t>4.2 Supporting Roles</w:t>
      </w:r>
    </w:p>
    <w:p>
      <w:pPr>
        <w:spacing w:after="140" w:line="276" w:lineRule="auto"/>
      </w:pPr>
      <w:r>
        <w:rPr>
          <w:rFonts w:ascii="Arial" w:hAnsi="Arial"/>
          <w:b w:val="0"/>
          <w:i w:val="0"/>
          <w:color w:val="000000"/>
          <w:sz w:val="21"/>
        </w:rPr>
        <w:t>Supporting roles are invited as needed and do not become voting members of the AGB unless this SOP is formally revised.</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Supporting Role</w:t>
            </w:r>
          </w:p>
        </w:tc>
        <w:tc>
          <w:tcPr>
            <w:tcW w:type="dxa" w:w="67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Responsibilities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Application Administrator / Developer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Analyzes and implements approved changes; maintains technical records; updates implementation status; performs developer testing; supports deployment and rollback.</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Business Subject Matter Expert / Tester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Clarifies requirements, develops acceptance criteria, performs user acceptance testing, and documents results.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Information Security / Privacy</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Provides specialist review when a change affects security, privacy, identity, access, data flows, or risk controls.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Vendor / Service Provider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Provides release information, product support, defect remediation, technical advice, and contractual deliverables.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Change Manager / Validation Representative</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Performs the responsibilities assigned by applicable organizational change-control or validation procedures.</w:t>
            </w:r>
          </w:p>
        </w:tc>
      </w:tr>
    </w:tbl>
    <w:p>
      <w:pPr>
        <w:spacing w:after="60"/>
      </w:pPr>
    </w:p>
    <w:p>
      <w:pPr>
        <w:pStyle w:val="Heading1"/>
        <w:keepNext/>
      </w:pPr>
      <w:r>
        <w:t>5. Application Governance Board</w:t>
      </w:r>
    </w:p>
    <w:p>
      <w:pPr>
        <w:pStyle w:val="Heading2"/>
        <w:keepNext/>
      </w:pPr>
      <w:r>
        <w:t>5.1 Membership</w:t>
      </w:r>
    </w:p>
    <w:p>
      <w:pPr>
        <w:spacing w:after="140" w:line="276" w:lineRule="auto"/>
      </w:pPr>
      <w:r>
        <w:rPr>
          <w:rFonts w:ascii="Arial" w:hAnsi="Arial"/>
          <w:b w:val="0"/>
          <w:i w:val="0"/>
          <w:color w:val="000000"/>
          <w:sz w:val="21"/>
        </w:rPr>
        <w:t>The AGB consists of exactly four core members: two Regional Business Stakeholders, the IT Owner, and one QA/RA Stakeholder. Names, assigned regions, alternates, and appointment dates are maintained in Addendum 1 or an equivalent controlled register.</w:t>
      </w:r>
    </w:p>
    <w:p>
      <w:pPr>
        <w:pStyle w:val="Heading2"/>
        <w:keepNext/>
      </w:pPr>
      <w:r>
        <w:t>5.2 Meetings and Records</w:t>
      </w:r>
    </w:p>
    <w:p>
      <w:pPr>
        <w:numPr>
          <w:ilvl w:val="0"/>
          <w:numId w:val="41"/>
        </w:numPr>
        <w:spacing w:after="80" w:line="276" w:lineRule="auto"/>
      </w:pPr>
      <w:r>
        <w:rPr>
          <w:rFonts w:ascii="Arial" w:hAnsi="Arial"/>
          <w:b w:val="0"/>
          <w:i w:val="0"/>
          <w:color w:val="000000"/>
          <w:sz w:val="21"/>
        </w:rPr>
        <w:t>Meet at least quarterly. Additional meetings may be convened for urgent changes, major releases, incidents, audit findings, or material risks.</w:t>
      </w:r>
    </w:p>
    <w:p>
      <w:pPr>
        <w:numPr>
          <w:ilvl w:val="0"/>
          <w:numId w:val="41"/>
        </w:numPr>
        <w:spacing w:after="80" w:line="276" w:lineRule="auto"/>
      </w:pPr>
      <w:r>
        <w:rPr>
          <w:rFonts w:ascii="Arial" w:hAnsi="Arial"/>
          <w:b w:val="0"/>
          <w:i w:val="0"/>
          <w:color w:val="000000"/>
          <w:sz w:val="21"/>
        </w:rPr>
        <w:t>The IT Owner prepares the agenda, maintains the change register, and ensures that decisions, actions, owners, and due dates are recorded.</w:t>
      </w:r>
    </w:p>
    <w:p>
      <w:pPr>
        <w:numPr>
          <w:ilvl w:val="0"/>
          <w:numId w:val="41"/>
        </w:numPr>
        <w:spacing w:after="80" w:line="276" w:lineRule="auto"/>
      </w:pPr>
      <w:r>
        <w:rPr>
          <w:rFonts w:ascii="Arial" w:hAnsi="Arial"/>
          <w:b w:val="0"/>
          <w:i w:val="0"/>
          <w:color w:val="000000"/>
          <w:sz w:val="21"/>
        </w:rPr>
        <w:t>Minutes and supporting records shall be stored in the approved governance repository and distributed to all members within ten business days unless a stricter local requirement applies.</w:t>
      </w:r>
    </w:p>
    <w:p>
      <w:pPr>
        <w:numPr>
          <w:ilvl w:val="0"/>
          <w:numId w:val="41"/>
        </w:numPr>
        <w:spacing w:after="80" w:line="276" w:lineRule="auto"/>
      </w:pPr>
      <w:r>
        <w:rPr>
          <w:rFonts w:ascii="Arial" w:hAnsi="Arial"/>
          <w:b w:val="0"/>
          <w:i w:val="0"/>
          <w:color w:val="000000"/>
          <w:sz w:val="21"/>
        </w:rPr>
        <w:t>Open actions and approved changes shall be reviewed at each meeting until closure.</w:t>
      </w:r>
    </w:p>
    <w:p>
      <w:pPr>
        <w:pStyle w:val="Heading2"/>
        <w:keepNext/>
      </w:pPr>
      <w:r>
        <w:t>5.3 Quorum and Decisions</w:t>
      </w:r>
    </w:p>
    <w:p>
      <w:pPr>
        <w:spacing w:after="140" w:line="276" w:lineRule="auto"/>
      </w:pPr>
      <w:r>
        <w:rPr>
          <w:rFonts w:ascii="Arial" w:hAnsi="Arial"/>
          <w:b w:val="0"/>
          <w:i w:val="0"/>
          <w:color w:val="000000"/>
          <w:sz w:val="21"/>
        </w:rPr>
        <w:t>Quorum requires at least three of the four core members, including the IT Owner, at least one Regional Business Stakeholder, and the QA/RA Stakeholder when a quality, regulatory, validation, patient-safety, or regulated-record impact is possible.</w:t>
      </w:r>
    </w:p>
    <w:p>
      <w:pPr>
        <w:spacing w:after="140" w:line="276" w:lineRule="auto"/>
      </w:pPr>
      <w:r>
        <w:rPr>
          <w:rFonts w:ascii="Arial" w:hAnsi="Arial"/>
          <w:b w:val="0"/>
          <w:i w:val="0"/>
          <w:color w:val="000000"/>
          <w:sz w:val="21"/>
        </w:rPr>
        <w:t>Routine decisions require a simple majority of core members present. A decision affecting a regulated or quality-controlled process additionally requires documented QA/RA concurrence. A decision that materially changes a regional business process requires concurrence from the affected Regional Business Stakeholder.</w:t>
      </w:r>
    </w:p>
    <w:p>
      <w:pPr>
        <w:spacing w:after="140" w:line="276" w:lineRule="auto"/>
      </w:pPr>
      <w:r>
        <w:rPr>
          <w:rFonts w:ascii="Arial" w:hAnsi="Arial"/>
          <w:b w:val="0"/>
          <w:i w:val="0"/>
          <w:color w:val="000000"/>
          <w:sz w:val="21"/>
        </w:rPr>
        <w:t>A two-to-two tie, lack of required concurrence, or unresolved material risk results in a Deferred status. The IT Owner shall document the issue and escalate it to the relevant business and IT leadership and, where applicable, Quality leadership. No production implementation may proceed until the escalation is resolved and recorded.</w:t>
      </w:r>
    </w:p>
    <w:p>
      <w:r>
        <w:br w:type="page"/>
      </w:r>
    </w:p>
    <w:p>
      <w:pPr>
        <w:pStyle w:val="Heading1"/>
        <w:keepNext/>
      </w:pPr>
      <w:r>
        <w:t>6. Board Membership and Onboarding</w:t>
      </w:r>
    </w:p>
    <w:p>
      <w:pPr>
        <w:spacing w:after="140" w:line="276" w:lineRule="auto"/>
      </w:pPr>
      <w:r>
        <w:rPr>
          <w:rFonts w:ascii="Arial" w:hAnsi="Arial"/>
          <w:b w:val="0"/>
          <w:i w:val="0"/>
          <w:color w:val="000000"/>
          <w:sz w:val="21"/>
        </w:rPr>
        <w:t>A core member is appointed by the accountable function represented by that role. Membership changes shall preserve the four-role composition and shall not create additional business seats.</w:t>
      </w:r>
    </w:p>
    <w:p>
      <w:pPr>
        <w:numPr>
          <w:ilvl w:val="0"/>
          <w:numId w:val="41"/>
        </w:numPr>
        <w:spacing w:after="80" w:line="276" w:lineRule="auto"/>
      </w:pPr>
      <w:r>
        <w:rPr>
          <w:rFonts w:ascii="Arial" w:hAnsi="Arial"/>
          <w:b w:val="0"/>
          <w:i w:val="0"/>
          <w:color w:val="000000"/>
          <w:sz w:val="21"/>
        </w:rPr>
        <w:t>The outgoing member or IT Owner provides a documented handover of open changes, risks, actions, decisions, and upcoming releases.</w:t>
      </w:r>
    </w:p>
    <w:p>
      <w:pPr>
        <w:numPr>
          <w:ilvl w:val="0"/>
          <w:numId w:val="41"/>
        </w:numPr>
        <w:spacing w:after="80" w:line="276" w:lineRule="auto"/>
      </w:pPr>
      <w:r>
        <w:rPr>
          <w:rFonts w:ascii="Arial" w:hAnsi="Arial"/>
          <w:b w:val="0"/>
          <w:i w:val="0"/>
          <w:color w:val="000000"/>
          <w:sz w:val="21"/>
        </w:rPr>
        <w:t>The incoming member completes required application, governance, quality, regulatory, security, and data-integrity training before voting independently.</w:t>
      </w:r>
    </w:p>
    <w:p>
      <w:pPr>
        <w:numPr>
          <w:ilvl w:val="0"/>
          <w:numId w:val="41"/>
        </w:numPr>
        <w:spacing w:after="80" w:line="276" w:lineRule="auto"/>
      </w:pPr>
      <w:r>
        <w:rPr>
          <w:rFonts w:ascii="Arial" w:hAnsi="Arial"/>
          <w:b w:val="0"/>
          <w:i w:val="0"/>
          <w:color w:val="000000"/>
          <w:sz w:val="21"/>
        </w:rPr>
        <w:t>A temporary proxy must represent the same role, be suitably trained, and be documented in the meeting record. QA/RA concurrence may only be provided by an authorized QA/RA representative.</w:t>
      </w:r>
    </w:p>
    <w:p>
      <w:pPr>
        <w:numPr>
          <w:ilvl w:val="0"/>
          <w:numId w:val="41"/>
        </w:numPr>
        <w:spacing w:after="80" w:line="276" w:lineRule="auto"/>
      </w:pPr>
      <w:r>
        <w:rPr>
          <w:rFonts w:ascii="Arial" w:hAnsi="Arial"/>
          <w:b w:val="0"/>
          <w:i w:val="0"/>
          <w:color w:val="000000"/>
          <w:sz w:val="21"/>
        </w:rPr>
        <w:t>The membership register is reviewed at least annually and whenever a member changes role or leaves the organization.</w:t>
      </w:r>
    </w:p>
    <w:p>
      <w:pPr>
        <w:pStyle w:val="Heading1"/>
        <w:keepNext/>
      </w:pPr>
      <w:r>
        <w:t>7. Change Management</w:t>
      </w:r>
    </w:p>
    <w:p>
      <w:pPr>
        <w:pStyle w:val="Heading2"/>
        <w:keepNext/>
      </w:pPr>
      <w:r>
        <w:t>7.1 Intake</w:t>
      </w:r>
    </w:p>
    <w:p>
      <w:pPr>
        <w:spacing w:after="140" w:line="276" w:lineRule="auto"/>
      </w:pPr>
      <w:r>
        <w:rPr>
          <w:rFonts w:ascii="Arial" w:hAnsi="Arial"/>
          <w:b w:val="0"/>
          <w:i w:val="0"/>
          <w:color w:val="000000"/>
          <w:sz w:val="21"/>
        </w:rPr>
        <w:t>A change request may originate from a user, regional stakeholder, IT, QA/RA, audit, incident, security review, vendor release, regulatory change, or continuous-improvement activity. Each request shall be entered in the approved change register using the minimum data set in Addendum 2.</w:t>
      </w:r>
    </w:p>
    <w:p>
      <w:pPr>
        <w:pStyle w:val="Heading2"/>
        <w:keepNext/>
      </w:pPr>
      <w:r>
        <w:t>7.2 Status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Status</w:t>
            </w:r>
          </w:p>
        </w:tc>
        <w:tc>
          <w:tcPr>
            <w:tcW w:type="dxa" w:w="74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Meaning</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Open</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Logged and awaiting initial triage.</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Analyzing</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Requirements, impact, risk, effort, and feasibility are being assessed.</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On Hold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Awaiting information, resources, dependency resolution, or a decision outside the AGB.</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Approved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Authorized for planning and implementation, subject to required change-control, validation, testing, and release approvals.</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 Progress</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Implementation, documentation, testing, or deployment preparation is underway.</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Deferred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Accepted for possible future work but not currently scheduled, or awaiting escalation resolution.</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Denied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Rejected with the reason documented.</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Completed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Deployed or otherwise implemented, verified, documented, and formally closed.</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Cancelled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Withdrawn because the need no longer exists or has been superseded.</w:t>
            </w:r>
          </w:p>
        </w:tc>
      </w:tr>
    </w:tbl>
    <w:p>
      <w:pPr>
        <w:spacing w:after="60"/>
      </w:pPr>
    </w:p>
    <w:p>
      <w:pPr>
        <w:pStyle w:val="Heading2"/>
        <w:keepNext/>
      </w:pPr>
      <w:r>
        <w:t>7.3 Prioritization</w:t>
      </w:r>
    </w:p>
    <w:p>
      <w:pPr>
        <w:spacing w:after="140" w:line="276" w:lineRule="auto"/>
      </w:pPr>
      <w:r>
        <w:rPr>
          <w:rFonts w:ascii="Arial" w:hAnsi="Arial"/>
          <w:b w:val="0"/>
          <w:i w:val="0"/>
          <w:color w:val="000000"/>
          <w:sz w:val="21"/>
        </w:rPr>
        <w:t>Priority is based on risk and value. Regional scope alone does not determine priority. The AGB considers the criteria below and documents the rationale.</w:t>
      </w:r>
    </w:p>
    <w:tbl>
      <w:tblPr>
        <w:tblStyle w:val="TableGrid"/>
        <w:tblW w:type="dxa" w:w="9360"/>
        <w:jc w:val="left"/>
        <w:tblLayout w:type="fixed"/>
        <w:tblLook w:firstColumn="1" w:firstRow="1" w:lastColumn="0" w:lastRow="0" w:noHBand="0" w:noVBand="1" w:val="04A0"/>
        <w:tblInd w:w="120" w:type="dxa"/>
      </w:tblPr>
      <w:tblGrid>
        <w:gridCol w:w="1350"/>
        <w:gridCol w:w="4650"/>
        <w:gridCol w:w="3360"/>
      </w:tblGrid>
      <w:tr>
        <w:trPr>
          <w:tblHeader w:val="true"/>
        </w:trPr>
        <w:tc>
          <w:tcPr>
            <w:tcW w:type="dxa" w:w="13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Priority</w:t>
            </w:r>
          </w:p>
        </w:tc>
        <w:tc>
          <w:tcPr>
            <w:tcW w:type="dxa" w:w="46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Typical Criteria</w:t>
            </w:r>
          </w:p>
        </w:tc>
        <w:tc>
          <w:tcPr>
            <w:tcW w:type="dxa" w:w="3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Expected Treatment</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Critical</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Immediate patient, product, regulatory, quality, security, data-integrity, or service-continuity risk.</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Emergency or expedited governance; implement as soon as safely practicable.</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High</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Significant compliance exposure, major incident correction, contractual deadline, or broad regional/business impact.</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Plan before medium and low items, subject to risk and resource constraints.</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Medium</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Material efficiency, usability, reporting, or process improvement with manageable risk.</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Schedule through the normal roadmap and release cycle.</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Low</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Localized convenience, minor enhancement, or cosmetic improvement with limited risk.</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Backlog and combine with an efficient future release where appropriate.</w:t>
            </w:r>
          </w:p>
        </w:tc>
      </w:tr>
    </w:tbl>
    <w:p>
      <w:pPr>
        <w:spacing w:after="60"/>
      </w:pPr>
    </w:p>
    <w:p>
      <w:pPr>
        <w:pStyle w:val="Heading2"/>
        <w:keepNext/>
      </w:pPr>
      <w:r>
        <w:t>7.4 Minimum Approval Evidence</w:t>
      </w:r>
    </w:p>
    <w:p>
      <w:pPr>
        <w:numPr>
          <w:ilvl w:val="0"/>
          <w:numId w:val="41"/>
        </w:numPr>
        <w:spacing w:after="80" w:line="276" w:lineRule="auto"/>
      </w:pPr>
      <w:r>
        <w:rPr>
          <w:rFonts w:ascii="Arial" w:hAnsi="Arial"/>
          <w:b w:val="0"/>
          <w:i w:val="0"/>
          <w:color w:val="000000"/>
          <w:sz w:val="21"/>
        </w:rPr>
        <w:t>Business requirement and acceptance criteria</w:t>
      </w:r>
    </w:p>
    <w:p>
      <w:pPr>
        <w:numPr>
          <w:ilvl w:val="0"/>
          <w:numId w:val="41"/>
        </w:numPr>
        <w:spacing w:after="80" w:line="276" w:lineRule="auto"/>
      </w:pPr>
      <w:r>
        <w:rPr>
          <w:rFonts w:ascii="Arial" w:hAnsi="Arial"/>
          <w:b w:val="0"/>
          <w:i w:val="0"/>
          <w:color w:val="000000"/>
          <w:sz w:val="21"/>
        </w:rPr>
        <w:t>Affected regions, users, processes, records, interfaces, reports, and integrations</w:t>
      </w:r>
    </w:p>
    <w:p>
      <w:pPr>
        <w:numPr>
          <w:ilvl w:val="0"/>
          <w:numId w:val="41"/>
        </w:numPr>
        <w:spacing w:after="80" w:line="276" w:lineRule="auto"/>
      </w:pPr>
      <w:r>
        <w:rPr>
          <w:rFonts w:ascii="Arial" w:hAnsi="Arial"/>
          <w:b w:val="0"/>
          <w:i w:val="0"/>
          <w:color w:val="000000"/>
          <w:sz w:val="21"/>
        </w:rPr>
        <w:t>Technical, security, privacy, quality, regulatory, validation, data-integrity, and business-continuity impact assessments, as applicable</w:t>
      </w:r>
    </w:p>
    <w:p>
      <w:pPr>
        <w:numPr>
          <w:ilvl w:val="0"/>
          <w:numId w:val="41"/>
        </w:numPr>
        <w:spacing w:after="80" w:line="276" w:lineRule="auto"/>
      </w:pPr>
      <w:r>
        <w:rPr>
          <w:rFonts w:ascii="Arial" w:hAnsi="Arial"/>
          <w:b w:val="0"/>
          <w:i w:val="0"/>
          <w:color w:val="000000"/>
          <w:sz w:val="21"/>
        </w:rPr>
        <w:t>Priority, decision, decision date, approvers, implementation owner, target release, and dependencies</w:t>
      </w:r>
    </w:p>
    <w:p>
      <w:pPr>
        <w:numPr>
          <w:ilvl w:val="0"/>
          <w:numId w:val="41"/>
        </w:numPr>
        <w:spacing w:after="80" w:line="276" w:lineRule="auto"/>
      </w:pPr>
      <w:r>
        <w:rPr>
          <w:rFonts w:ascii="Arial" w:hAnsi="Arial"/>
          <w:b w:val="0"/>
          <w:i w:val="0"/>
          <w:color w:val="000000"/>
          <w:sz w:val="21"/>
        </w:rPr>
        <w:t>Testing, deployment, rollback, communication, training, and documentation plan proportionate to risk</w:t>
      </w:r>
    </w:p>
    <w:p>
      <w:pPr>
        <w:pStyle w:val="Heading2"/>
        <w:keepNext/>
      </w:pPr>
      <w:r>
        <w:t>7.5 Emergency Changes</w:t>
      </w:r>
    </w:p>
    <w:p>
      <w:pPr>
        <w:spacing w:after="140" w:line="276" w:lineRule="auto"/>
      </w:pPr>
      <w:r>
        <w:rPr>
          <w:rFonts w:ascii="Arial" w:hAnsi="Arial"/>
          <w:b w:val="0"/>
          <w:i w:val="0"/>
          <w:color w:val="000000"/>
          <w:sz w:val="21"/>
        </w:rPr>
        <w:t>Emergency changes may use an expedited meeting or documented electronic approval. The IT Owner and an affected Regional Business Stakeholder shall approve the action. QA/RA approval is also required before implementation when a regulated or quality impact is possible, unless an approved emergency procedure explicitly permits retrospective review. Any retrospective review shall occur within five business days and shall document testing, risk, outcome, deviations, and follow-up actions.</w:t>
      </w:r>
    </w:p>
    <w:p>
      <w:r>
        <w:br w:type="page"/>
      </w:r>
    </w:p>
    <w:p>
      <w:pPr>
        <w:pStyle w:val="Heading1"/>
        <w:keepNext/>
      </w:pPr>
      <w:r>
        <w:t>8. Change Implementation</w:t>
      </w:r>
    </w:p>
    <w:p>
      <w:pPr>
        <w:spacing w:after="140" w:line="276" w:lineRule="auto"/>
      </w:pPr>
      <w:r>
        <w:rPr>
          <w:rFonts w:ascii="Arial" w:hAnsi="Arial"/>
          <w:b w:val="0"/>
          <w:i w:val="0"/>
          <w:color w:val="000000"/>
          <w:sz w:val="21"/>
        </w:rPr>
        <w:t>The implementation owner shall keep the change register current so the AGB can monitor progress. The following lifecycle applies unless a stricter approved procedure governs the application.</w:t>
      </w:r>
    </w:p>
    <w:p>
      <w:pPr>
        <w:numPr>
          <w:ilvl w:val="0"/>
          <w:numId w:val="40"/>
        </w:numPr>
        <w:spacing w:after="80" w:line="276" w:lineRule="auto"/>
      </w:pPr>
      <w:r>
        <w:rPr>
          <w:rFonts w:ascii="Arial" w:hAnsi="Arial"/>
          <w:b w:val="0"/>
          <w:i w:val="0"/>
          <w:color w:val="000000"/>
          <w:sz w:val="21"/>
        </w:rPr>
        <w:t>Confirm the approved requirement, scope, acceptance criteria, risk classification, owners, and required evidence.</w:t>
      </w:r>
    </w:p>
    <w:p>
      <w:pPr>
        <w:numPr>
          <w:ilvl w:val="0"/>
          <w:numId w:val="40"/>
        </w:numPr>
        <w:spacing w:after="80" w:line="276" w:lineRule="auto"/>
      </w:pPr>
      <w:r>
        <w:rPr>
          <w:rFonts w:ascii="Arial" w:hAnsi="Arial"/>
          <w:b w:val="0"/>
          <w:i w:val="0"/>
          <w:color w:val="000000"/>
          <w:sz w:val="21"/>
        </w:rPr>
        <w:t>Create and process the organization's formal IT change record and validation/change-control records, as applicable.</w:t>
      </w:r>
    </w:p>
    <w:p>
      <w:pPr>
        <w:numPr>
          <w:ilvl w:val="0"/>
          <w:numId w:val="40"/>
        </w:numPr>
        <w:spacing w:after="80" w:line="276" w:lineRule="auto"/>
      </w:pPr>
      <w:r>
        <w:rPr>
          <w:rFonts w:ascii="Arial" w:hAnsi="Arial"/>
          <w:b w:val="0"/>
          <w:i w:val="0"/>
          <w:color w:val="000000"/>
          <w:sz w:val="21"/>
        </w:rPr>
        <w:t>Configure or develop the solution in an approved non-production environment. Apply version control and segregation of duties where required.</w:t>
      </w:r>
    </w:p>
    <w:p>
      <w:pPr>
        <w:numPr>
          <w:ilvl w:val="0"/>
          <w:numId w:val="40"/>
        </w:numPr>
        <w:spacing w:after="80" w:line="276" w:lineRule="auto"/>
      </w:pPr>
      <w:r>
        <w:rPr>
          <w:rFonts w:ascii="Arial" w:hAnsi="Arial"/>
          <w:b w:val="0"/>
          <w:i w:val="0"/>
          <w:color w:val="000000"/>
          <w:sz w:val="21"/>
        </w:rPr>
        <w:t>Perform and document developer or unit testing, technical review, and remediation of identified defects.</w:t>
      </w:r>
    </w:p>
    <w:p>
      <w:pPr>
        <w:numPr>
          <w:ilvl w:val="0"/>
          <w:numId w:val="40"/>
        </w:numPr>
        <w:spacing w:after="80" w:line="276" w:lineRule="auto"/>
      </w:pPr>
      <w:r>
        <w:rPr>
          <w:rFonts w:ascii="Arial" w:hAnsi="Arial"/>
          <w:b w:val="0"/>
          <w:i w:val="0"/>
          <w:color w:val="000000"/>
          <w:sz w:val="21"/>
        </w:rPr>
        <w:t>Promote the change to an approved test environment and execute risk-based functional, integration, security, regression, and user acceptance testing.</w:t>
      </w:r>
    </w:p>
    <w:p>
      <w:pPr>
        <w:numPr>
          <w:ilvl w:val="0"/>
          <w:numId w:val="40"/>
        </w:numPr>
        <w:spacing w:after="80" w:line="276" w:lineRule="auto"/>
      </w:pPr>
      <w:r>
        <w:rPr>
          <w:rFonts w:ascii="Arial" w:hAnsi="Arial"/>
          <w:b w:val="0"/>
          <w:i w:val="0"/>
          <w:color w:val="000000"/>
          <w:sz w:val="21"/>
        </w:rPr>
        <w:t>Obtain documented acceptance from the affected Regional Business Stakeholder(s), IT Owner, and QA/RA when required by the impact assessment.</w:t>
      </w:r>
    </w:p>
    <w:p>
      <w:pPr>
        <w:numPr>
          <w:ilvl w:val="0"/>
          <w:numId w:val="40"/>
        </w:numPr>
        <w:spacing w:after="80" w:line="276" w:lineRule="auto"/>
      </w:pPr>
      <w:r>
        <w:rPr>
          <w:rFonts w:ascii="Arial" w:hAnsi="Arial"/>
          <w:b w:val="0"/>
          <w:i w:val="0"/>
          <w:color w:val="000000"/>
          <w:sz w:val="21"/>
        </w:rPr>
        <w:t>Approve the deployment plan, timing, communications, training, backup, and rollback approach before production implementation.</w:t>
      </w:r>
    </w:p>
    <w:p>
      <w:pPr>
        <w:numPr>
          <w:ilvl w:val="0"/>
          <w:numId w:val="40"/>
        </w:numPr>
        <w:spacing w:after="80" w:line="276" w:lineRule="auto"/>
      </w:pPr>
      <w:r>
        <w:rPr>
          <w:rFonts w:ascii="Arial" w:hAnsi="Arial"/>
          <w:b w:val="0"/>
          <w:i w:val="0"/>
          <w:color w:val="000000"/>
          <w:sz w:val="21"/>
        </w:rPr>
        <w:t>Deploy through the approved release and change-management process, verify the production outcome, and monitor for unintended effects.</w:t>
      </w:r>
    </w:p>
    <w:p>
      <w:pPr>
        <w:numPr>
          <w:ilvl w:val="0"/>
          <w:numId w:val="40"/>
        </w:numPr>
        <w:spacing w:after="80" w:line="276" w:lineRule="auto"/>
      </w:pPr>
      <w:r>
        <w:rPr>
          <w:rFonts w:ascii="Arial" w:hAnsi="Arial"/>
          <w:b w:val="0"/>
          <w:i w:val="0"/>
          <w:color w:val="000000"/>
          <w:sz w:val="21"/>
        </w:rPr>
        <w:t>Update procedures, work instructions, training, system descriptions, configuration records, validation evidence, support knowledge, and continuity documentation as applicable.</w:t>
      </w:r>
    </w:p>
    <w:p>
      <w:pPr>
        <w:numPr>
          <w:ilvl w:val="0"/>
          <w:numId w:val="40"/>
        </w:numPr>
        <w:spacing w:after="80" w:line="276" w:lineRule="auto"/>
      </w:pPr>
      <w:r>
        <w:rPr>
          <w:rFonts w:ascii="Arial" w:hAnsi="Arial"/>
          <w:b w:val="0"/>
          <w:i w:val="0"/>
          <w:color w:val="000000"/>
          <w:sz w:val="21"/>
        </w:rPr>
        <w:t>Close the change only after evidence is complete, residual actions are assigned, and the outcome is accepted by the responsible approvers.</w:t>
      </w:r>
    </w:p>
    <w:p>
      <w:pPr>
        <w:pStyle w:val="Heading1"/>
        <w:keepNext/>
      </w:pPr>
      <w:r>
        <w:t>9. Documentation and Lifecycle Controls</w:t>
      </w:r>
    </w:p>
    <w:p>
      <w:pPr>
        <w:pStyle w:val="Heading2"/>
        <w:keepNext/>
      </w:pPr>
      <w:r>
        <w:t>9.1 Governance Records</w:t>
      </w:r>
    </w:p>
    <w:p>
      <w:pPr>
        <w:spacing w:after="140" w:line="276" w:lineRule="auto"/>
      </w:pPr>
      <w:r>
        <w:rPr>
          <w:rFonts w:ascii="Arial" w:hAnsi="Arial"/>
          <w:b w:val="0"/>
          <w:i w:val="0"/>
          <w:color w:val="000000"/>
          <w:sz w:val="21"/>
        </w:rPr>
        <w:t>The approved governance repository shall contain or link to meeting agendas, minutes, attendance, decisions, change requests, prioritization rationale, risk assessments, approvals, action logs, release decisions, and closure evidence. Records shall be retained according to the applicable records-retention schedule.</w:t>
      </w:r>
    </w:p>
    <w:p>
      <w:pPr>
        <w:pStyle w:val="Heading2"/>
        <w:keepNext/>
      </w:pPr>
      <w:r>
        <w:t>9.2 Access Management</w:t>
      </w:r>
    </w:p>
    <w:p>
      <w:pPr>
        <w:numPr>
          <w:ilvl w:val="0"/>
          <w:numId w:val="41"/>
        </w:numPr>
        <w:spacing w:after="80" w:line="276" w:lineRule="auto"/>
      </w:pPr>
      <w:r>
        <w:rPr>
          <w:rFonts w:ascii="Arial" w:hAnsi="Arial"/>
          <w:b w:val="0"/>
          <w:i w:val="0"/>
          <w:color w:val="000000"/>
          <w:sz w:val="21"/>
        </w:rPr>
        <w:t>Grant access only after authorization and required training.</w:t>
      </w:r>
    </w:p>
    <w:p>
      <w:pPr>
        <w:numPr>
          <w:ilvl w:val="0"/>
          <w:numId w:val="41"/>
        </w:numPr>
        <w:spacing w:after="80" w:line="276" w:lineRule="auto"/>
      </w:pPr>
      <w:r>
        <w:rPr>
          <w:rFonts w:ascii="Arial" w:hAnsi="Arial"/>
          <w:b w:val="0"/>
          <w:i w:val="0"/>
          <w:color w:val="000000"/>
          <w:sz w:val="21"/>
        </w:rPr>
        <w:t>Assign least-privilege roles appropriate to job responsibilities.</w:t>
      </w:r>
    </w:p>
    <w:p>
      <w:pPr>
        <w:numPr>
          <w:ilvl w:val="0"/>
          <w:numId w:val="41"/>
        </w:numPr>
        <w:spacing w:after="80" w:line="276" w:lineRule="auto"/>
      </w:pPr>
      <w:r>
        <w:rPr>
          <w:rFonts w:ascii="Arial" w:hAnsi="Arial"/>
          <w:b w:val="0"/>
          <w:i w:val="0"/>
          <w:color w:val="000000"/>
          <w:sz w:val="21"/>
        </w:rPr>
        <w:t>Periodically review user and privileged access at a frequency based on risk and applicable requirements.</w:t>
      </w:r>
    </w:p>
    <w:p>
      <w:pPr>
        <w:numPr>
          <w:ilvl w:val="0"/>
          <w:numId w:val="41"/>
        </w:numPr>
        <w:spacing w:after="80" w:line="276" w:lineRule="auto"/>
      </w:pPr>
      <w:r>
        <w:rPr>
          <w:rFonts w:ascii="Arial" w:hAnsi="Arial"/>
          <w:b w:val="0"/>
          <w:i w:val="0"/>
          <w:color w:val="000000"/>
          <w:sz w:val="21"/>
        </w:rPr>
        <w:t>Promptly revoke or modify access when responsibilities change or employment ends.</w:t>
      </w:r>
    </w:p>
    <w:p>
      <w:pPr>
        <w:numPr>
          <w:ilvl w:val="0"/>
          <w:numId w:val="41"/>
        </w:numPr>
        <w:spacing w:after="80" w:line="276" w:lineRule="auto"/>
      </w:pPr>
      <w:r>
        <w:rPr>
          <w:rFonts w:ascii="Arial" w:hAnsi="Arial"/>
          <w:b w:val="0"/>
          <w:i w:val="0"/>
          <w:color w:val="000000"/>
          <w:sz w:val="21"/>
        </w:rPr>
        <w:t>Document administrator access, emergency access, service accounts, and segregation-of-duties exceptions.</w:t>
      </w:r>
    </w:p>
    <w:p>
      <w:pPr>
        <w:pStyle w:val="Heading2"/>
        <w:keepNext/>
      </w:pPr>
      <w:r>
        <w:t>9.3 Training</w:t>
      </w:r>
    </w:p>
    <w:p>
      <w:pPr>
        <w:spacing w:after="140" w:line="276" w:lineRule="auto"/>
      </w:pPr>
      <w:r>
        <w:rPr>
          <w:rFonts w:ascii="Arial" w:hAnsi="Arial"/>
          <w:b w:val="0"/>
          <w:i w:val="0"/>
          <w:color w:val="000000"/>
          <w:sz w:val="21"/>
        </w:rPr>
        <w:t>The application owner shall ensure that role-based training is defined, completed, and recorded before users perform governed activities. Training materials and work instructions shall be updated before or concurrent with a change becoming effective.</w:t>
      </w:r>
    </w:p>
    <w:p>
      <w:pPr>
        <w:pStyle w:val="Heading2"/>
        <w:keepNext/>
      </w:pPr>
      <w:r>
        <w:t>9.4 System Description and Validation</w:t>
      </w:r>
    </w:p>
    <w:p>
      <w:pPr>
        <w:spacing w:after="140" w:line="276" w:lineRule="auto"/>
      </w:pPr>
      <w:r>
        <w:rPr>
          <w:rFonts w:ascii="Arial" w:hAnsi="Arial"/>
          <w:b w:val="0"/>
          <w:i w:val="0"/>
          <w:color w:val="000000"/>
          <w:sz w:val="21"/>
        </w:rPr>
        <w:t>A current system description shall define intended use, scope, ownership, architecture, interfaces, data and record lifecycles, user populations, criticality, validation status, supplier arrangements, security classification, business continuity, and key contacts. Validation and periodic review activities shall be proportionate to risk and applicable requirements.</w:t>
      </w:r>
    </w:p>
    <w:p>
      <w:pPr>
        <w:pStyle w:val="Heading2"/>
        <w:keepNext/>
      </w:pPr>
      <w:r>
        <w:t>9.5 Supplier Oversight</w:t>
      </w:r>
    </w:p>
    <w:p>
      <w:pPr>
        <w:spacing w:after="140" w:line="276" w:lineRule="auto"/>
      </w:pPr>
      <w:r>
        <w:rPr>
          <w:rFonts w:ascii="Arial" w:hAnsi="Arial"/>
          <w:b w:val="0"/>
          <w:i w:val="0"/>
          <w:color w:val="000000"/>
          <w:sz w:val="21"/>
        </w:rPr>
        <w:t>For vendor-supported applications, supplier performance and quality shall be reviewed at least annually or at the frequency defined by supplier-management procedures. The review should consider incidents, service levels, security notifications, audit information, release quality, support responsiveness, continuity, and contractual obligations.</w:t>
      </w:r>
    </w:p>
    <w:p>
      <w:pPr>
        <w:pStyle w:val="Heading2"/>
        <w:keepNext/>
      </w:pPr>
      <w:r>
        <w:t>9.6 Business Continuity</w:t>
      </w:r>
    </w:p>
    <w:p>
      <w:pPr>
        <w:spacing w:after="140" w:line="276" w:lineRule="auto"/>
      </w:pPr>
      <w:r>
        <w:rPr>
          <w:rFonts w:ascii="Arial" w:hAnsi="Arial"/>
          <w:b w:val="0"/>
          <w:i w:val="0"/>
          <w:color w:val="000000"/>
          <w:sz w:val="21"/>
        </w:rPr>
        <w:t>A documented continuity and recovery approach shall define outage communications, manual workarounds, recovery priorities, backup and restore expectations, escalation contacts, and return-to-service verification. The plan shall be tested at a risk-based frequency.</w:t>
      </w:r>
    </w:p>
    <w:p>
      <w:pPr>
        <w:pStyle w:val="Heading2"/>
        <w:keepNext/>
      </w:pPr>
      <w:r>
        <w:t>9.7 Periodic Review</w:t>
      </w:r>
    </w:p>
    <w:p>
      <w:pPr>
        <w:spacing w:after="140" w:line="276" w:lineRule="auto"/>
      </w:pPr>
      <w:r>
        <w:rPr>
          <w:rFonts w:ascii="Arial" w:hAnsi="Arial"/>
          <w:b w:val="0"/>
          <w:i w:val="0"/>
          <w:color w:val="000000"/>
          <w:sz w:val="21"/>
        </w:rPr>
        <w:t>The IT Owner coordinates a documented periodic review at least annually, or more frequently when risk requires. The review covers ownership, membership, open risks, access, incidents, audit findings, validation state, documentation currency, supplier performance, continuity, technical health, roadmap, and retirement considerations.</w:t>
      </w:r>
    </w:p>
    <w:p>
      <w:r>
        <w:br w:type="page"/>
      </w:r>
    </w:p>
    <w:p>
      <w:pPr>
        <w:pStyle w:val="Heading1"/>
        <w:keepNext/>
      </w:pPr>
      <w:r>
        <w:t>10. Vendor Releases and Maintenance</w:t>
      </w:r>
    </w:p>
    <w:p>
      <w:pPr>
        <w:spacing w:after="140" w:line="276" w:lineRule="auto"/>
      </w:pPr>
      <w:r>
        <w:rPr>
          <w:rFonts w:ascii="Arial" w:hAnsi="Arial"/>
          <w:b w:val="0"/>
          <w:i w:val="0"/>
          <w:color w:val="000000"/>
          <w:sz w:val="21"/>
        </w:rPr>
        <w:t>The IT Owner monitors vendor roadmaps, release notices, security advisories, end-of-support dates, and mandatory maintenance. Each relevant release shall be reviewed for business, technical, security, privacy, quality, regulatory, validation, integration, and training impact.</w:t>
      </w:r>
    </w:p>
    <w:p>
      <w:pPr>
        <w:numPr>
          <w:ilvl w:val="0"/>
          <w:numId w:val="40"/>
        </w:numPr>
        <w:spacing w:after="80" w:line="276" w:lineRule="auto"/>
      </w:pPr>
      <w:r>
        <w:rPr>
          <w:rFonts w:ascii="Arial" w:hAnsi="Arial"/>
          <w:b w:val="0"/>
          <w:i w:val="0"/>
          <w:color w:val="000000"/>
          <w:sz w:val="21"/>
        </w:rPr>
        <w:t>Obtain and review release notes and known issues.</w:t>
      </w:r>
    </w:p>
    <w:p>
      <w:pPr>
        <w:numPr>
          <w:ilvl w:val="0"/>
          <w:numId w:val="40"/>
        </w:numPr>
        <w:spacing w:after="80" w:line="276" w:lineRule="auto"/>
      </w:pPr>
      <w:r>
        <w:rPr>
          <w:rFonts w:ascii="Arial" w:hAnsi="Arial"/>
          <w:b w:val="0"/>
          <w:i w:val="0"/>
          <w:color w:val="000000"/>
          <w:sz w:val="21"/>
        </w:rPr>
        <w:t>Identify mandatory features, deprecations, interface changes, and configuration impacts.</w:t>
      </w:r>
    </w:p>
    <w:p>
      <w:pPr>
        <w:numPr>
          <w:ilvl w:val="0"/>
          <w:numId w:val="40"/>
        </w:numPr>
        <w:spacing w:after="80" w:line="276" w:lineRule="auto"/>
      </w:pPr>
      <w:r>
        <w:rPr>
          <w:rFonts w:ascii="Arial" w:hAnsi="Arial"/>
          <w:b w:val="0"/>
          <w:i w:val="0"/>
          <w:color w:val="000000"/>
          <w:sz w:val="21"/>
        </w:rPr>
        <w:t>Perform a documented risk and impact assessment.</w:t>
      </w:r>
    </w:p>
    <w:p>
      <w:pPr>
        <w:numPr>
          <w:ilvl w:val="0"/>
          <w:numId w:val="40"/>
        </w:numPr>
        <w:spacing w:after="80" w:line="276" w:lineRule="auto"/>
      </w:pPr>
      <w:r>
        <w:rPr>
          <w:rFonts w:ascii="Arial" w:hAnsi="Arial"/>
          <w:b w:val="0"/>
          <w:i w:val="0"/>
          <w:color w:val="000000"/>
          <w:sz w:val="21"/>
        </w:rPr>
        <w:t>Define and execute risk-based regression and user acceptance testing.</w:t>
      </w:r>
    </w:p>
    <w:p>
      <w:pPr>
        <w:numPr>
          <w:ilvl w:val="0"/>
          <w:numId w:val="40"/>
        </w:numPr>
        <w:spacing w:after="80" w:line="276" w:lineRule="auto"/>
      </w:pPr>
      <w:r>
        <w:rPr>
          <w:rFonts w:ascii="Arial" w:hAnsi="Arial"/>
          <w:b w:val="0"/>
          <w:i w:val="0"/>
          <w:color w:val="000000"/>
          <w:sz w:val="21"/>
        </w:rPr>
        <w:t>Approve deployment timing, communications, training, and documentation updates.</w:t>
      </w:r>
    </w:p>
    <w:p>
      <w:pPr>
        <w:numPr>
          <w:ilvl w:val="0"/>
          <w:numId w:val="40"/>
        </w:numPr>
        <w:spacing w:after="80" w:line="276" w:lineRule="auto"/>
      </w:pPr>
      <w:r>
        <w:rPr>
          <w:rFonts w:ascii="Arial" w:hAnsi="Arial"/>
          <w:b w:val="0"/>
          <w:i w:val="0"/>
          <w:color w:val="000000"/>
          <w:sz w:val="21"/>
        </w:rPr>
        <w:t>Verify production behavior and record any follow-up defects or mitigations.</w:t>
      </w:r>
    </w:p>
    <w:p>
      <w:pPr>
        <w:pStyle w:val="Heading1"/>
        <w:keepNext/>
      </w:pPr>
      <w:r>
        <w:t>11. Application Support and Escalation</w:t>
      </w:r>
    </w:p>
    <w:tbl>
      <w:tblPr>
        <w:tblStyle w:val="TableGrid"/>
        <w:tblW w:type="dxa" w:w="9360"/>
        <w:jc w:val="left"/>
        <w:tblLayout w:type="fixed"/>
        <w:tblLook w:firstColumn="1" w:firstRow="1" w:lastColumn="0" w:lastRow="0" w:noHBand="0" w:noVBand="1" w:val="04A0"/>
        <w:tblInd w:w="120" w:type="dxa"/>
      </w:tblPr>
      <w:tblGrid>
        <w:gridCol w:w="2750"/>
        <w:gridCol w:w="3250"/>
        <w:gridCol w:w="3360"/>
      </w:tblGrid>
      <w:tr>
        <w:trPr>
          <w:tblHeader w:val="true"/>
        </w:trPr>
        <w:tc>
          <w:tcPr>
            <w:tcW w:type="dxa" w:w="27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Support Element</w:t>
            </w:r>
          </w:p>
        </w:tc>
        <w:tc>
          <w:tcPr>
            <w:tcW w:type="dxa" w:w="32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Primary Owner</w:t>
            </w:r>
          </w:p>
        </w:tc>
        <w:tc>
          <w:tcPr>
            <w:tcW w:type="dxa" w:w="3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Escalation</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Business process or usage question</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 designated business support</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when technical analysis is needed</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Technical defect, integration, performance, or availability</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support / application administrator</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then vendor or infrastructure owner</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Quality, regulatory, validation, or data-integrity concern</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QA/RA Stakeholder</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Quality leadership and IT Owner</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Security or privacy event</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Information Security / Privacy response process</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and QA/RA as applicable</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Critical outage</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incident-management process</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business stakeholders, QA/RA, and vendor as applicable</w:t>
            </w:r>
          </w:p>
        </w:tc>
      </w:tr>
    </w:tbl>
    <w:p>
      <w:pPr>
        <w:spacing w:after="60"/>
      </w:pPr>
    </w:p>
    <w:p>
      <w:pPr>
        <w:spacing w:after="140" w:line="276" w:lineRule="auto"/>
      </w:pPr>
      <w:r>
        <w:rPr>
          <w:rFonts w:ascii="Arial" w:hAnsi="Arial"/>
          <w:b w:val="0"/>
          <w:i w:val="0"/>
          <w:color w:val="000000"/>
          <w:sz w:val="21"/>
        </w:rPr>
        <w:t>Incidents and support cases that reveal a systemic defect, material risk, repeat failure, compliance concern, or improvement opportunity shall be linked to a change request and presented to the AGB.</w:t>
      </w:r>
    </w:p>
    <w:p>
      <w:pPr>
        <w:pStyle w:val="Heading1"/>
        <w:keepNext/>
      </w:pPr>
      <w:r>
        <w:t>12. Training and Compliance</w:t>
      </w:r>
    </w:p>
    <w:p>
      <w:pPr>
        <w:spacing w:after="140" w:line="276" w:lineRule="auto"/>
      </w:pPr>
      <w:r>
        <w:rPr>
          <w:rFonts w:ascii="Arial" w:hAnsi="Arial"/>
          <w:b w:val="0"/>
          <w:i w:val="0"/>
          <w:color w:val="000000"/>
          <w:sz w:val="21"/>
        </w:rPr>
        <w:t>All persons performing activities under this SOP shall complete required training before performing those activities independently. Failure to follow this SOP shall be handled through the applicable deviation, incident, corrective and preventive action, or management escalation process.</w:t>
      </w:r>
    </w:p>
    <w:p>
      <w:pPr>
        <w:pStyle w:val="Heading1"/>
        <w:keepNext/>
      </w:pPr>
      <w:r>
        <w:t>13. Related Documents</w:t>
      </w: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Document</w:t>
            </w:r>
          </w:p>
        </w:tc>
        <w:tc>
          <w:tcPr>
            <w:tcW w:type="dxa" w:w="4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Identifier / Location</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Application System Description</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IT Change Management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Computer System Validation / Assurance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User Access Management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Training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Business Continuity and Disaster Recovery Plan</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Information Security and Incident Management Procedures</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Records Retention Schedule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Supplier Management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bl>
    <w:p>
      <w:pPr>
        <w:spacing w:after="60"/>
      </w:pPr>
    </w:p>
    <w:p>
      <w:pPr>
        <w:pStyle w:val="Heading1"/>
        <w:keepNext/>
      </w:pPr>
      <w:r>
        <w:t>14. Document History</w:t>
      </w:r>
    </w:p>
    <w:tbl>
      <w:tblPr>
        <w:tblStyle w:val="TableGrid"/>
        <w:tblW w:type="dxa" w:w="9360"/>
        <w:jc w:val="left"/>
        <w:tblLayout w:type="fixed"/>
        <w:tblLook w:firstColumn="1" w:firstRow="1" w:lastColumn="0" w:lastRow="0" w:noHBand="0" w:noVBand="1" w:val="04A0"/>
        <w:tblInd w:w="120" w:type="dxa"/>
      </w:tblPr>
      <w:tblGrid>
        <w:gridCol w:w="1200"/>
        <w:gridCol w:w="6360"/>
        <w:gridCol w:w="1800"/>
      </w:tblGrid>
      <w:tr>
        <w:trPr>
          <w:tblHeader w:val="true"/>
        </w:trPr>
        <w:tc>
          <w:tcPr>
            <w:tcW w:type="dxa" w:w="12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Revision</w:t>
            </w:r>
          </w:p>
        </w:tc>
        <w:tc>
          <w:tcPr>
            <w:tcW w:type="dxa" w:w="6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Change Description</w:t>
            </w:r>
          </w:p>
        </w:tc>
        <w:tc>
          <w:tcPr>
            <w:tcW w:type="dxa" w:w="18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Effective Date</w:t>
            </w:r>
          </w:p>
        </w:tc>
      </w:tr>
      <w:tr>
        <w:tc>
          <w:tcPr>
            <w:tcW w:type="dxa" w:w="12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01</w:t>
            </w:r>
          </w:p>
        </w:tc>
        <w:tc>
          <w:tcPr>
            <w:tcW w:type="dxa" w:w="6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Initial generic application governance SOP based on the approved governance model. Establishes a four-member board with regional business representation.</w:t>
            </w:r>
          </w:p>
        </w:tc>
        <w:tc>
          <w:tcPr>
            <w:tcW w:type="dxa" w:w="18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Upon Approval</w:t>
            </w:r>
          </w:p>
        </w:tc>
      </w:tr>
    </w:tbl>
    <w:p>
      <w:pPr>
        <w:spacing w:after="60"/>
      </w:pPr>
    </w:p>
    <w:p>
      <w:r>
        <w:br w:type="page"/>
      </w:r>
    </w:p>
    <w:p>
      <w:pPr>
        <w:pStyle w:val="Heading1"/>
        <w:keepNext/>
      </w:pPr>
      <w:r>
        <w:t>Addendum 1 - Governance Board Membership Register</w:t>
      </w:r>
    </w:p>
    <w:p>
      <w:pPr>
        <w:spacing w:after="140" w:line="276" w:lineRule="auto"/>
      </w:pPr>
      <w:r>
        <w:rPr>
          <w:rFonts w:ascii="Arial" w:hAnsi="Arial"/>
          <w:b w:val="0"/>
          <w:i w:val="0"/>
          <w:color w:val="000000"/>
          <w:sz w:val="21"/>
        </w:rPr>
        <w:t>Maintain this register in the controlled document or in an approved linked record. The two regional assignments should reflect the application's operating model.</w:t>
      </w:r>
    </w:p>
    <w:tbl>
      <w:tblPr>
        <w:tblStyle w:val="TableGrid"/>
        <w:tblW w:type="dxa" w:w="9360"/>
        <w:jc w:val="left"/>
        <w:tblLayout w:type="fixed"/>
        <w:tblLook w:firstColumn="1" w:firstRow="1" w:lastColumn="0" w:lastRow="0" w:noHBand="0" w:noVBand="1" w:val="04A0"/>
        <w:tblInd w:w="120" w:type="dxa"/>
      </w:tblPr>
      <w:tblGrid>
        <w:gridCol w:w="2450"/>
        <w:gridCol w:w="1700"/>
        <w:gridCol w:w="1900"/>
        <w:gridCol w:w="1900"/>
        <w:gridCol w:w="1410"/>
      </w:tblGrid>
      <w:tr>
        <w:trPr>
          <w:tblHeader w:val="true"/>
        </w:trPr>
        <w:tc>
          <w:tcPr>
            <w:tcW w:type="dxa" w:w="24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Governance Role</w:t>
            </w:r>
          </w:p>
        </w:tc>
        <w:tc>
          <w:tcPr>
            <w:tcW w:type="dxa" w:w="17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Assigned Region</w:t>
            </w:r>
          </w:p>
        </w:tc>
        <w:tc>
          <w:tcPr>
            <w:tcW w:type="dxa" w:w="19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Name</w:t>
            </w:r>
          </w:p>
        </w:tc>
        <w:tc>
          <w:tcPr>
            <w:tcW w:type="dxa" w:w="19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Alternate</w:t>
            </w:r>
          </w:p>
        </w:tc>
        <w:tc>
          <w:tcPr>
            <w:tcW w:type="dxa" w:w="141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Appointment Date</w:t>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1</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 1]</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2</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 2]</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Global / Application</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QA/RA Stakeholder</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Global / Application</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bl>
    <w:p>
      <w:pPr>
        <w:spacing w:after="60"/>
      </w:pPr>
    </w:p>
    <w:p>
      <w:pPr>
        <w:pStyle w:val="Heading1"/>
        <w:keepNext/>
      </w:pPr>
      <w:r>
        <w:t>Addendum 2 - Change Request Minimum Data Set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Data Group</w:t>
            </w:r>
          </w:p>
        </w:tc>
        <w:tc>
          <w:tcPr>
            <w:tcW w:type="dxa" w:w="72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Required Information</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Identification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Unique ID, title, requester, date submitted, source, and related incident/audit/release.</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Business Need</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Problem or opportunity, intended outcome, affected regions, users, and processes.</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Requirements</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Functional and non-functional requirements and measurable acceptance criteria.</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Impact</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Data, records, integrations, reporting, access, security, privacy, quality, regulatory, validation, continuity, training, and documentation.</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Risk and Priority</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Risk rating, priority, rationale, dependencies, and consequences of not implementing.</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Decision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Status, decision date, decision rationale, voting members, required concurrence, and conditions.</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Implementation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Owner, target release, environments, technical approach, migration, communication, training, deployment, and rollback.</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Verification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Test plan, results, defects, acceptance approvals, production verification, and residual actions.</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Closure</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Completion date, final approvals, updated documents, links to evidence, and lessons learned.</w:t>
            </w:r>
          </w:p>
        </w:tc>
      </w:tr>
    </w:tbl>
    <w:p>
      <w:pPr>
        <w:spacing w:after="60"/>
      </w:pPr>
    </w:p>
    <w:sectPr w:rsidR="00FC693F" w:rsidRPr="0006063C" w:rsidSect="00034616">
      <w:headerReference w:type="default" r:id="rId9"/>
      <w:footerReference w:type="default" r:id="rId10"/>
      <w:pgSz w:w="12240" w:h="15840"/>
      <w:pgMar w:top="180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b w:val="0"/>
        <w:i/>
        <w:color w:val="666666"/>
        <w:sz w:val="15"/>
      </w:rPr>
      <w:t>Controlled document when viewed in the approved document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p>
  <w:tbl>
    <w:tblPr>
      <w:tblStyle w:val="TableGrid"/>
      <w:tblW w:type="dxa" w:w="9360"/>
      <w:jc w:val="left"/>
      <w:tblLayout w:type="fixed"/>
      <w:tblLook w:firstColumn="1" w:firstRow="1" w:lastColumn="0" w:lastRow="0" w:noHBand="0" w:noVBand="1" w:val="04A0"/>
      <w:tblInd w:w="0" w:type="dxa"/>
    </w:tblPr>
    <w:tblGrid>
      <w:gridCol w:w="4200"/>
      <w:gridCol w:w="2040"/>
      <w:gridCol w:w="1080"/>
      <w:gridCol w:w="2040"/>
    </w:tblGrid>
    <w:tr>
      <w:trPr>
        <w:tblHeader w:val="true"/>
      </w:trPr>
      <w:tc>
        <w:tcPr>
          <w:tcW w:type="dxa" w:w="4200"/>
          <w:tcMar>
            <w:top w:w="90" w:type="dxa"/>
            <w:start w:w="120" w:type="dxa"/>
            <w:bottom w:w="90" w:type="dxa"/>
            <w:end w:w="120" w:type="dxa"/>
          </w:tcMar>
          <w:vAlign w:val="center"/>
        </w:tcPr>
        <w:p>
          <w:pPr>
            <w:spacing w:after="0"/>
          </w:pPr>
          <w:r/>
          <w:r>
            <w:rPr>
              <w:rFonts w:ascii="Arial" w:hAnsi="Arial"/>
              <w:b w:val="0"/>
              <w:i w:val="0"/>
              <w:color w:val="666666"/>
              <w:sz w:val="15"/>
            </w:rPr>
            <w:t>Title</w:t>
            <w:br/>
          </w:r>
          <w:r>
            <w:rPr>
              <w:rFonts w:ascii="Arial" w:hAnsi="Arial"/>
              <w:b w:val="0"/>
              <w:i w:val="0"/>
              <w:color w:val="000000"/>
              <w:sz w:val="17"/>
            </w:rPr>
            <w:t>Application Governance Procedures</w:t>
          </w:r>
        </w:p>
      </w:tc>
      <w:tc>
        <w:tcPr>
          <w:tcW w:type="dxa" w:w="2040"/>
          <w:tcMar>
            <w:top w:w="90" w:type="dxa"/>
            <w:start w:w="120" w:type="dxa"/>
            <w:bottom w:w="90" w:type="dxa"/>
            <w:end w:w="120" w:type="dxa"/>
          </w:tcMar>
          <w:vAlign w:val="center"/>
        </w:tcPr>
        <w:p>
          <w:pPr>
            <w:spacing w:after="0"/>
          </w:pPr>
          <w:r/>
          <w:r>
            <w:rPr>
              <w:rFonts w:ascii="Arial" w:hAnsi="Arial"/>
              <w:b w:val="0"/>
              <w:i w:val="0"/>
              <w:color w:val="666666"/>
              <w:sz w:val="15"/>
            </w:rPr>
            <w:t>Document ID</w:t>
            <w:br/>
          </w:r>
          <w:r>
            <w:rPr>
              <w:rFonts w:ascii="Arial" w:hAnsi="Arial"/>
              <w:b w:val="0"/>
              <w:i w:val="0"/>
              <w:color w:val="000000"/>
              <w:sz w:val="17"/>
            </w:rPr>
            <w:t>[Assign in EDMS]</w:t>
          </w:r>
        </w:p>
      </w:tc>
      <w:tc>
        <w:tcPr>
          <w:tcW w:type="dxa" w:w="1080"/>
          <w:tcMar>
            <w:top w:w="90" w:type="dxa"/>
            <w:start w:w="120" w:type="dxa"/>
            <w:bottom w:w="90" w:type="dxa"/>
            <w:end w:w="120" w:type="dxa"/>
          </w:tcMar>
          <w:vAlign w:val="center"/>
        </w:tcPr>
        <w:p>
          <w:pPr>
            <w:spacing w:after="0"/>
          </w:pPr>
          <w:r/>
          <w:r>
            <w:rPr>
              <w:rFonts w:ascii="Arial" w:hAnsi="Arial"/>
              <w:b w:val="0"/>
              <w:i w:val="0"/>
              <w:color w:val="666666"/>
              <w:sz w:val="15"/>
            </w:rPr>
            <w:t>Revision</w:t>
            <w:br/>
          </w:r>
          <w:r>
            <w:rPr>
              <w:rFonts w:ascii="Arial" w:hAnsi="Arial"/>
              <w:b w:val="0"/>
              <w:i w:val="0"/>
              <w:color w:val="000000"/>
              <w:sz w:val="17"/>
            </w:rPr>
            <w:t>01</w:t>
          </w:r>
        </w:p>
      </w:tc>
      <w:tc>
        <w:tcPr>
          <w:tcW w:type="dxa" w:w="2040"/>
          <w:tcMar>
            <w:top w:w="90" w:type="dxa"/>
            <w:start w:w="120" w:type="dxa"/>
            <w:bottom w:w="90" w:type="dxa"/>
            <w:end w:w="120" w:type="dxa"/>
          </w:tcMar>
          <w:vAlign w:val="center"/>
        </w:tcPr>
        <w:p>
          <w:pPr>
            <w:spacing w:after="0"/>
          </w:pPr>
          <w:r/>
          <w:r>
            <w:rPr>
              <w:rFonts w:ascii="Arial" w:hAnsi="Arial"/>
              <w:b w:val="0"/>
              <w:i w:val="0"/>
              <w:color w:val="666666"/>
              <w:sz w:val="15"/>
            </w:rPr>
            <w:t>Effective Date</w:t>
            <w:br/>
          </w:r>
          <w:r>
            <w:rPr>
              <w:rFonts w:ascii="Arial" w:hAnsi="Arial"/>
              <w:b w:val="0"/>
              <w:i w:val="0"/>
              <w:color w:val="000000"/>
              <w:sz w:val="17"/>
            </w:rPr>
            <w:t>Upon Approval</w:t>
          </w:r>
        </w:p>
      </w:tc>
    </w:tr>
    <w:tr>
      <w:tc>
        <w:tcPr>
          <w:tcW w:type="dxa" w:w="4200"/>
          <w:tcMar>
            <w:top w:w="90" w:type="dxa"/>
            <w:start w:w="120" w:type="dxa"/>
            <w:bottom w:w="90" w:type="dxa"/>
            <w:end w:w="120" w:type="dxa"/>
          </w:tcMar>
          <w:vAlign w:val="center"/>
        </w:tcPr>
        <w:p>
          <w:pPr>
            <w:spacing w:after="0"/>
          </w:pPr>
          <w:r/>
          <w:r>
            <w:rPr>
              <w:rFonts w:ascii="Arial" w:hAnsi="Arial"/>
              <w:b w:val="0"/>
              <w:i w:val="0"/>
              <w:color w:val="666666"/>
              <w:sz w:val="15"/>
            </w:rPr>
            <w:t>Document Type</w:t>
            <w:br/>
          </w:r>
          <w:r>
            <w:rPr>
              <w:rFonts w:ascii="Arial" w:hAnsi="Arial"/>
              <w:b w:val="0"/>
              <w:i w:val="0"/>
              <w:color w:val="000000"/>
              <w:sz w:val="17"/>
            </w:rPr>
            <w:t>Standard Operating Procedure</w:t>
          </w:r>
        </w:p>
      </w:tc>
      <w:tc>
        <w:tcPr>
          <w:tcW w:type="dxa" w:w="2040"/>
          <w:tcMar>
            <w:top w:w="90" w:type="dxa"/>
            <w:start w:w="120" w:type="dxa"/>
            <w:bottom w:w="90" w:type="dxa"/>
            <w:end w:w="120" w:type="dxa"/>
          </w:tcMar>
          <w:vAlign w:val="center"/>
        </w:tcPr>
        <w:p>
          <w:pPr>
            <w:spacing w:after="0"/>
          </w:pPr>
          <w:r/>
          <w:r>
            <w:rPr>
              <w:rFonts w:ascii="Arial" w:hAnsi="Arial"/>
              <w:b w:val="0"/>
              <w:i w:val="0"/>
              <w:color w:val="666666"/>
              <w:sz w:val="15"/>
            </w:rPr>
            <w:t>Owner</w:t>
            <w:br/>
          </w:r>
          <w:r>
            <w:rPr>
              <w:rFonts w:ascii="Arial" w:hAnsi="Arial"/>
              <w:b w:val="0"/>
              <w:i w:val="0"/>
              <w:color w:val="000000"/>
              <w:sz w:val="17"/>
            </w:rPr>
            <w:t>IT Owner</w:t>
          </w:r>
        </w:p>
      </w:tc>
      <w:tc>
        <w:tcPr>
          <w:tcW w:type="dxa" w:w="1080"/>
          <w:tcMar>
            <w:top w:w="90" w:type="dxa"/>
            <w:start w:w="120" w:type="dxa"/>
            <w:bottom w:w="90" w:type="dxa"/>
            <w:end w:w="120" w:type="dxa"/>
          </w:tcMar>
          <w:vAlign w:val="center"/>
        </w:tcPr>
        <w:p>
          <w:pPr>
            <w:spacing w:after="0"/>
          </w:pPr>
          <w:r/>
          <w:r>
            <w:rPr>
              <w:rFonts w:ascii="Arial" w:hAnsi="Arial"/>
              <w:b w:val="0"/>
              <w:i w:val="0"/>
              <w:color w:val="666666"/>
              <w:sz w:val="15"/>
            </w:rPr>
            <w:t>Governance</w:t>
            <w:br/>
          </w:r>
          <w:r>
            <w:rPr>
              <w:rFonts w:ascii="Arial" w:hAnsi="Arial"/>
              <w:b w:val="0"/>
              <w:i w:val="0"/>
              <w:color w:val="000000"/>
              <w:sz w:val="17"/>
            </w:rPr>
            <w:t>AGB</w:t>
          </w:r>
        </w:p>
      </w:tc>
      <w:tc>
        <w:tcPr>
          <w:tcW w:type="dxa" w:w="2040"/>
          <w:tcMar>
            <w:top w:w="90" w:type="dxa"/>
            <w:start w:w="120" w:type="dxa"/>
            <w:bottom w:w="90" w:type="dxa"/>
            <w:end w:w="120" w:type="dxa"/>
          </w:tcMar>
          <w:vAlign w:val="center"/>
        </w:tcPr>
        <w:p>
          <w:r/>
          <w:r>
            <w:rPr>
              <w:rFonts w:ascii="Arial" w:hAnsi="Arial"/>
              <w:b w:val="0"/>
              <w:i w:val="0"/>
              <w:color w:val="666666"/>
              <w:sz w:val="15"/>
            </w:rPr>
            <w:t>Page</w:t>
            <w:br/>
          </w:r>
          <w:r>
            <w:fldChar w:fldCharType="begin"/>
          </w:r>
          <w:r>
            <w:instrText xml:space="preserve">PAGE</w:instrText>
          </w:r>
          <w:r>
            <w:fldChar w:fldCharType="separate"/>
          </w:r>
          <w:r>
            <w:t>1</w:t>
          </w:r>
          <w:r>
            <w:fldChar w:fldCharType="end"/>
          </w:r>
          <w:r>
            <w:rPr>
              <w:rFonts w:ascii="Arial" w:hAnsi="Arial"/>
              <w:b w:val="0"/>
              <w:i w:val="0"/>
              <w:color w:val="000000"/>
              <w:sz w:val="17"/>
            </w:rPr>
            <w:t xml:space="preserve"> of </w:t>
          </w:r>
          <w:r>
            <w:fldChar w:fldCharType="begin"/>
          </w:r>
          <w:r>
            <w:instrText xml:space="preserve">NUMPAGES</w:instrText>
          </w:r>
          <w:r>
            <w:fldChar w:fldCharType="separate"/>
          </w:r>
          <w:r>
            <w:t>1</w:t>
          </w:r>
          <w:r>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decimal"/>
      <w:lvlText w:val="%1."/>
      <w:suff w:val="tab"/>
      <w:pPr>
        <w:tabs>
          <w:tab w:val="num" w:pos="720"/>
        </w:tabs>
        <w:ind w:left="720" w:hanging="360"/>
      </w:pPr>
    </w:lvl>
  </w:abstractNum>
  <w:num w:numId="40">
    <w:abstractNumId w:val="40"/>
  </w:num>
  <w:abstractNum w:abstractNumId="41">
    <w:multiLevelType w:val="singleLevel"/>
    <w:lvl w:ilvl="0">
      <w:start w:val="1"/>
      <w:numFmt w:val="bullet"/>
      <w:lvlText w:val="•"/>
      <w:suff w:val="tab"/>
      <w:pPr>
        <w:tabs>
          <w:tab w:val="num" w:pos="720"/>
        </w:tabs>
        <w:ind w:left="720" w:hanging="360"/>
      </w:pPr>
      <w:rPr>
        <w:rFonts w:ascii="Arial" w:hAnsi="Arial"/>
      </w:rPr>
    </w:lvl>
  </w:abstract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Governance Procedures</dc:title>
  <dc:subject>Generic application governance SOP</dc:subject>
  <dc:creator/>
  <cp:keywords>application governance; SOP; change management; QA/RA; IT ownership</cp:keywords>
  <dc:description>generated by python-docx</dc:description>
  <cp:lastModifiedBy/>
  <cp:revision>1</cp:revision>
  <dcterms:created xsi:type="dcterms:W3CDTF">2013-12-23T23:15:00Z</dcterms:created>
  <dcterms:modified xsi:type="dcterms:W3CDTF">2013-12-23T23:15:00Z</dcterms:modified>
  <cp:category/>
</cp:coreProperties>
</file>