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rFonts w:ascii="Calibri" w:hAnsi="Calibri"/>
          <w:b/>
          <w:color w:val="B7791F"/>
          <w:sz w:val="20"/>
        </w:rPr>
        <w:t>SALESFORCE IMPLEMENTATION GUIDE</w:t>
      </w:r>
    </w:p>
    <w:p>
      <w:pPr>
        <w:spacing w:after="140"/>
      </w:pPr>
      <w:r>
        <w:rPr>
          <w:rFonts w:ascii="Calibri" w:hAnsi="Calibri"/>
          <w:b/>
          <w:color w:val="17365D"/>
          <w:sz w:val="54"/>
        </w:rPr>
        <w:t>Resources &amp; Skills for a New Salesforce Org</w:t>
      </w:r>
    </w:p>
    <w:p>
      <w:pPr>
        <w:spacing w:after="240"/>
      </w:pPr>
      <w:r>
        <w:rPr>
          <w:rFonts w:ascii="Calibri" w:hAnsi="Calibri"/>
          <w:b/>
          <w:color w:val="1F4D78"/>
          <w:sz w:val="28"/>
        </w:rPr>
        <w:t>Sales Cloud, Service Cloud and Revenue Cloud / Revenue Management</w:t>
      </w:r>
    </w:p>
    <w:p>
      <w:pPr>
        <w:spacing w:after="320" w:line="288" w:lineRule="auto"/>
      </w:pPr>
      <w:r>
        <w:rPr>
          <w:rFonts w:ascii="Calibri" w:hAnsi="Calibri"/>
          <w:color w:val="222222"/>
          <w:sz w:val="23"/>
        </w:rPr>
        <w:t>A practical planning guide for assembling the implementation team, platform resources, environments, skills and governance needed to deliver an integrated customer and product-to-cash platform.</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8E8"/>
          </w:tcPr>
          <w:p>
            <w:pPr>
              <w:spacing w:after="0" w:line="276" w:lineRule="auto"/>
            </w:pPr>
            <w:r>
              <w:rPr>
                <w:rFonts w:ascii="Calibri" w:hAnsi="Calibri"/>
                <w:b/>
                <w:color w:val="B7791F"/>
                <w:sz w:val="22"/>
              </w:rPr>
              <w:t xml:space="preserve">Important product decision  </w:t>
            </w:r>
            <w:r>
              <w:rPr>
                <w:rFonts w:ascii="Calibri" w:hAnsi="Calibri"/>
                <w:color w:val="222222"/>
                <w:sz w:val="22"/>
              </w:rPr>
              <w:t>Salesforce documentation increasingly refers to the newer Revenue Cloud platform as Revenue Management. Confirm whether the program will use the newer platform or legacy Salesforce CPQ and Billing before estimating, staffing or designing migration paths.</w:t>
            </w:r>
          </w:p>
        </w:tc>
      </w:tr>
    </w:tbl>
    <w:p>
      <w:pPr>
        <w:spacing w:after="20"/>
      </w:pPr>
    </w:p>
    <w:p>
      <w:pPr>
        <w:pStyle w:val="Heading1"/>
        <w:keepNext/>
      </w:pPr>
      <w:r>
        <w:rPr>
          <w:rFonts w:ascii="Calibri" w:hAnsi="Calibri"/>
          <w:b/>
          <w:color w:val="2E74B5"/>
          <w:sz w:val="32"/>
        </w:rPr>
        <w:t>1. Executive summary</w:t>
      </w:r>
    </w:p>
    <w:p>
      <w:pPr>
        <w:spacing w:after="120" w:line="300" w:lineRule="auto"/>
      </w:pPr>
      <w:r>
        <w:rPr>
          <w:rFonts w:ascii="Calibri" w:hAnsi="Calibri"/>
          <w:color w:val="222222"/>
          <w:sz w:val="22"/>
        </w:rPr>
        <w:t>This program should be treated as a cross-functional transformation, not simply a CRM configuration. Sales, service and product-to-cash processes share customer, product, price, contract, order and asset data. Decisions made in one workstream can therefore create downstream constraints in the others.</w:t>
      </w:r>
    </w:p>
    <w:p>
      <w:pPr>
        <w:spacing w:after="120" w:line="300" w:lineRule="auto"/>
      </w:pPr>
      <w:r>
        <w:rPr>
          <w:rFonts w:ascii="Calibri" w:hAnsi="Calibri"/>
          <w:color w:val="222222"/>
          <w:sz w:val="22"/>
        </w:rPr>
        <w:t>For a moderately complex implementation, plan for a core delivery team of approximately 10-18 people plus business subject-matter experts. A small, low-integration deployment may operate with 6-8; a global or highly regulated product-to-cash program may require materially more.</w:t>
      </w:r>
    </w:p>
    <w:p>
      <w:pPr>
        <w:pStyle w:val="Heading1"/>
        <w:keepNext/>
      </w:pPr>
      <w:r>
        <w:rPr>
          <w:rFonts w:ascii="Calibri" w:hAnsi="Calibri"/>
          <w:b/>
          <w:color w:val="2E74B5"/>
          <w:sz w:val="32"/>
        </w:rPr>
        <w:t>2. Core implementation team</w:t>
      </w:r>
    </w:p>
    <w:p>
      <w:pPr>
        <w:spacing w:after="120" w:line="300" w:lineRule="auto"/>
      </w:pPr>
      <w:r>
        <w:rPr>
          <w:rFonts w:ascii="Calibri" w:hAnsi="Calibri"/>
          <w:color w:val="222222"/>
          <w:sz w:val="22"/>
        </w:rPr>
        <w:t>The following roles form the minimum multidisciplinary capability. Several roles can be combined in a small program, but accountability should remain explicit.</w:t>
      </w:r>
    </w:p>
    <w:tbl>
      <w:tblPr>
        <w:tblStyle w:val="TableGrid"/>
        <w:tblW w:type="dxa" w:w="9360"/>
        <w:tblLayout w:type="fixed"/>
        <w:tblLook w:firstColumn="1" w:firstRow="1" w:lastColumn="0" w:lastRow="0" w:noHBand="0" w:noVBand="1" w:val="04A0"/>
        <w:jc w:val="left"/>
        <w:tblInd w:w="120" w:type="dxa"/>
      </w:tblPr>
      <w:tblGrid>
        <w:gridCol w:w="2400"/>
        <w:gridCol w:w="5520"/>
        <w:gridCol w:w="1440"/>
      </w:tblGrid>
      <w:tr>
        <w:trPr>
          <w:tblHeader w:val="true"/>
        </w:trPr>
        <w:tc>
          <w:tcPr>
            <w:tcW w:type="dxa" w:w="2400"/>
            <w:tcMar>
              <w:top w:w="80" w:type="dxa"/>
              <w:start w:w="120" w:type="dxa"/>
              <w:bottom w:w="80" w:type="dxa"/>
              <w:end w:w="120" w:type="dxa"/>
            </w:tcMar>
            <w:vAlign w:val="center"/>
            <w:shd w:fill="17365D"/>
          </w:tcPr>
          <w:p>
            <w:pPr>
              <w:jc w:val="left"/>
            </w:pPr>
            <w:r>
              <w:rPr>
                <w:rFonts w:ascii="Calibri" w:hAnsi="Calibri"/>
                <w:b/>
                <w:color w:val="FFFFFF"/>
                <w:sz w:val="19"/>
              </w:rPr>
              <w:t>Resource</w:t>
            </w:r>
          </w:p>
        </w:tc>
        <w:tc>
          <w:tcPr>
            <w:tcW w:type="dxa" w:w="5520"/>
            <w:tcMar>
              <w:top w:w="80" w:type="dxa"/>
              <w:start w:w="120" w:type="dxa"/>
              <w:bottom w:w="80" w:type="dxa"/>
              <w:end w:w="120" w:type="dxa"/>
            </w:tcMar>
            <w:vAlign w:val="center"/>
            <w:shd w:fill="17365D"/>
          </w:tcPr>
          <w:p>
            <w:pPr>
              <w:jc w:val="left"/>
            </w:pPr>
            <w:r>
              <w:rPr>
                <w:rFonts w:ascii="Calibri" w:hAnsi="Calibri"/>
                <w:b/>
                <w:color w:val="FFFFFF"/>
                <w:sz w:val="19"/>
              </w:rPr>
              <w:t>Primary responsibility</w:t>
            </w:r>
          </w:p>
        </w:tc>
        <w:tc>
          <w:tcPr>
            <w:tcW w:type="dxa" w:w="1440"/>
            <w:tcMar>
              <w:top w:w="80" w:type="dxa"/>
              <w:start w:w="120" w:type="dxa"/>
              <w:bottom w:w="80" w:type="dxa"/>
              <w:end w:w="120" w:type="dxa"/>
            </w:tcMar>
            <w:vAlign w:val="center"/>
            <w:shd w:fill="17365D"/>
          </w:tcPr>
          <w:p>
            <w:pPr>
              <w:jc w:val="center"/>
            </w:pPr>
            <w:r>
              <w:rPr>
                <w:rFonts w:ascii="Calibri" w:hAnsi="Calibri"/>
                <w:b/>
                <w:color w:val="FFFFFF"/>
                <w:sz w:val="19"/>
              </w:rPr>
              <w:t>Typical need</w:t>
            </w:r>
          </w:p>
        </w:tc>
      </w:tr>
      <w:tr>
        <w:tc>
          <w:tcPr>
            <w:tcW w:type="dxa" w:w="2400"/>
            <w:tcMar>
              <w:top w:w="80" w:type="dxa"/>
              <w:start w:w="120" w:type="dxa"/>
              <w:bottom w:w="80" w:type="dxa"/>
              <w:end w:w="120" w:type="dxa"/>
            </w:tcMar>
            <w:vAlign w:val="center"/>
          </w:tcPr>
          <w:p>
            <w:pPr>
              <w:spacing w:after="0" w:line="252" w:lineRule="auto"/>
            </w:pPr>
            <w:r>
              <w:rPr>
                <w:rFonts w:ascii="Calibri" w:hAnsi="Calibri"/>
                <w:b/>
                <w:color w:val="222222"/>
                <w:sz w:val="18"/>
              </w:rPr>
              <w:t>Executive sponsor</w:t>
            </w:r>
          </w:p>
        </w:tc>
        <w:tc>
          <w:tcPr>
            <w:tcW w:type="dxa" w:w="5520"/>
            <w:tcMar>
              <w:top w:w="80" w:type="dxa"/>
              <w:start w:w="120" w:type="dxa"/>
              <w:bottom w:w="80" w:type="dxa"/>
              <w:end w:w="120" w:type="dxa"/>
            </w:tcMar>
            <w:vAlign w:val="center"/>
          </w:tcPr>
          <w:p>
            <w:pPr>
              <w:spacing w:after="0" w:line="252" w:lineRule="auto"/>
            </w:pPr>
            <w:r>
              <w:rPr>
                <w:rFonts w:ascii="Calibri" w:hAnsi="Calibri"/>
                <w:b w:val="0"/>
                <w:color w:val="222222"/>
                <w:sz w:val="18"/>
              </w:rPr>
              <w:t>Funding, priorities and cross-functional decisions</w:t>
            </w:r>
          </w:p>
        </w:tc>
        <w:tc>
          <w:tcPr>
            <w:tcW w:type="dxa" w:w="1440"/>
            <w:tcMar>
              <w:top w:w="80" w:type="dxa"/>
              <w:start w:w="120" w:type="dxa"/>
              <w:bottom w:w="80" w:type="dxa"/>
              <w:end w:w="120" w:type="dxa"/>
            </w:tcMar>
            <w:vAlign w:val="center"/>
          </w:tcPr>
          <w:p>
            <w:pPr>
              <w:spacing w:after="0" w:line="252" w:lineRule="auto"/>
              <w:jc w:val="center"/>
            </w:pPr>
            <w:r>
              <w:rPr>
                <w:rFonts w:ascii="Calibri" w:hAnsi="Calibri"/>
                <w:b w:val="0"/>
                <w:color w:val="222222"/>
                <w:sz w:val="18"/>
              </w:rPr>
              <w:t>Part-time</w:t>
            </w:r>
          </w:p>
        </w:tc>
      </w:tr>
      <w:tr>
        <w:tc>
          <w:tcPr>
            <w:tcW w:type="dxa" w:w="2400"/>
            <w:shd w:fill="F2F4F7"/>
            <w:tcMar>
              <w:top w:w="80" w:type="dxa"/>
              <w:start w:w="120" w:type="dxa"/>
              <w:bottom w:w="80" w:type="dxa"/>
              <w:end w:w="120" w:type="dxa"/>
            </w:tcMar>
            <w:vAlign w:val="center"/>
          </w:tcPr>
          <w:p>
            <w:pPr>
              <w:spacing w:after="0" w:line="252" w:lineRule="auto"/>
            </w:pPr>
            <w:r>
              <w:rPr>
                <w:rFonts w:ascii="Calibri" w:hAnsi="Calibri"/>
                <w:b/>
                <w:color w:val="222222"/>
                <w:sz w:val="18"/>
              </w:rPr>
              <w:t>Business product owner</w:t>
            </w:r>
          </w:p>
        </w:tc>
        <w:tc>
          <w:tcPr>
            <w:tcW w:type="dxa" w:w="5520"/>
            <w:shd w:fill="F2F4F7"/>
            <w:tcMar>
              <w:top w:w="80" w:type="dxa"/>
              <w:start w:w="120" w:type="dxa"/>
              <w:bottom w:w="80" w:type="dxa"/>
              <w:end w:w="120" w:type="dxa"/>
            </w:tcMar>
            <w:vAlign w:val="center"/>
          </w:tcPr>
          <w:p>
            <w:pPr>
              <w:spacing w:after="0" w:line="252" w:lineRule="auto"/>
            </w:pPr>
            <w:r>
              <w:rPr>
                <w:rFonts w:ascii="Calibri" w:hAnsi="Calibri"/>
                <w:b w:val="0"/>
                <w:color w:val="222222"/>
                <w:sz w:val="18"/>
              </w:rPr>
              <w:t>Scope, backlog, value and acceptance</w:t>
            </w:r>
          </w:p>
        </w:tc>
        <w:tc>
          <w:tcPr>
            <w:tcW w:type="dxa" w:w="1440"/>
            <w:shd w:fill="F2F4F7"/>
            <w:tcMar>
              <w:top w:w="80" w:type="dxa"/>
              <w:start w:w="120" w:type="dxa"/>
              <w:bottom w:w="80" w:type="dxa"/>
              <w:end w:w="120" w:type="dxa"/>
            </w:tcMar>
            <w:vAlign w:val="center"/>
          </w:tcPr>
          <w:p>
            <w:pPr>
              <w:spacing w:after="0" w:line="252" w:lineRule="auto"/>
              <w:jc w:val="center"/>
            </w:pPr>
            <w:r>
              <w:rPr>
                <w:rFonts w:ascii="Calibri" w:hAnsi="Calibri"/>
                <w:b w:val="0"/>
                <w:color w:val="222222"/>
                <w:sz w:val="18"/>
              </w:rPr>
              <w:t>50-100%</w:t>
            </w:r>
          </w:p>
        </w:tc>
      </w:tr>
      <w:tr>
        <w:tc>
          <w:tcPr>
            <w:tcW w:type="dxa" w:w="2400"/>
            <w:tcMar>
              <w:top w:w="80" w:type="dxa"/>
              <w:start w:w="120" w:type="dxa"/>
              <w:bottom w:w="80" w:type="dxa"/>
              <w:end w:w="120" w:type="dxa"/>
            </w:tcMar>
            <w:vAlign w:val="center"/>
          </w:tcPr>
          <w:p>
            <w:pPr>
              <w:spacing w:after="0" w:line="252" w:lineRule="auto"/>
            </w:pPr>
            <w:r>
              <w:rPr>
                <w:rFonts w:ascii="Calibri" w:hAnsi="Calibri"/>
                <w:b/>
                <w:color w:val="222222"/>
                <w:sz w:val="18"/>
              </w:rPr>
              <w:t>Program / project manager</w:t>
            </w:r>
          </w:p>
        </w:tc>
        <w:tc>
          <w:tcPr>
            <w:tcW w:type="dxa" w:w="5520"/>
            <w:tcMar>
              <w:top w:w="80" w:type="dxa"/>
              <w:start w:w="120" w:type="dxa"/>
              <w:bottom w:w="80" w:type="dxa"/>
              <w:end w:w="120" w:type="dxa"/>
            </w:tcMar>
            <w:vAlign w:val="center"/>
          </w:tcPr>
          <w:p>
            <w:pPr>
              <w:spacing w:after="0" w:line="252" w:lineRule="auto"/>
            </w:pPr>
            <w:r>
              <w:rPr>
                <w:rFonts w:ascii="Calibri" w:hAnsi="Calibri"/>
                <w:b w:val="0"/>
                <w:color w:val="222222"/>
                <w:sz w:val="18"/>
              </w:rPr>
              <w:t>Plan, dependencies, risk, budget and governance</w:t>
            </w:r>
          </w:p>
        </w:tc>
        <w:tc>
          <w:tcPr>
            <w:tcW w:type="dxa" w:w="1440"/>
            <w:tcMar>
              <w:top w:w="80" w:type="dxa"/>
              <w:start w:w="120" w:type="dxa"/>
              <w:bottom w:w="80" w:type="dxa"/>
              <w:end w:w="120" w:type="dxa"/>
            </w:tcMar>
            <w:vAlign w:val="center"/>
          </w:tcPr>
          <w:p>
            <w:pPr>
              <w:spacing w:after="0" w:line="252" w:lineRule="auto"/>
              <w:jc w:val="center"/>
            </w:pPr>
            <w:r>
              <w:rPr>
                <w:rFonts w:ascii="Calibri" w:hAnsi="Calibri"/>
                <w:b w:val="0"/>
                <w:color w:val="222222"/>
                <w:sz w:val="18"/>
              </w:rPr>
              <w:t>Full-time</w:t>
            </w:r>
          </w:p>
        </w:tc>
      </w:tr>
      <w:tr>
        <w:tc>
          <w:tcPr>
            <w:tcW w:type="dxa" w:w="2400"/>
            <w:shd w:fill="F2F4F7"/>
            <w:tcMar>
              <w:top w:w="80" w:type="dxa"/>
              <w:start w:w="120" w:type="dxa"/>
              <w:bottom w:w="80" w:type="dxa"/>
              <w:end w:w="120" w:type="dxa"/>
            </w:tcMar>
            <w:vAlign w:val="center"/>
          </w:tcPr>
          <w:p>
            <w:pPr>
              <w:spacing w:after="0" w:line="252" w:lineRule="auto"/>
            </w:pPr>
            <w:r>
              <w:rPr>
                <w:rFonts w:ascii="Calibri" w:hAnsi="Calibri"/>
                <w:b/>
                <w:color w:val="222222"/>
                <w:sz w:val="18"/>
              </w:rPr>
              <w:t>Salesforce solution architect</w:t>
            </w:r>
          </w:p>
        </w:tc>
        <w:tc>
          <w:tcPr>
            <w:tcW w:type="dxa" w:w="5520"/>
            <w:shd w:fill="F2F4F7"/>
            <w:tcMar>
              <w:top w:w="80" w:type="dxa"/>
              <w:start w:w="120" w:type="dxa"/>
              <w:bottom w:w="80" w:type="dxa"/>
              <w:end w:w="120" w:type="dxa"/>
            </w:tcMar>
            <w:vAlign w:val="center"/>
          </w:tcPr>
          <w:p>
            <w:pPr>
              <w:spacing w:after="0" w:line="252" w:lineRule="auto"/>
            </w:pPr>
            <w:r>
              <w:rPr>
                <w:rFonts w:ascii="Calibri" w:hAnsi="Calibri"/>
                <w:b w:val="0"/>
                <w:color w:val="222222"/>
                <w:sz w:val="18"/>
              </w:rPr>
              <w:t>End-to-end data, security, integration and platform design</w:t>
            </w:r>
          </w:p>
        </w:tc>
        <w:tc>
          <w:tcPr>
            <w:tcW w:type="dxa" w:w="1440"/>
            <w:shd w:fill="F2F4F7"/>
            <w:tcMar>
              <w:top w:w="80" w:type="dxa"/>
              <w:start w:w="120" w:type="dxa"/>
              <w:bottom w:w="80" w:type="dxa"/>
              <w:end w:w="120" w:type="dxa"/>
            </w:tcMar>
            <w:vAlign w:val="center"/>
          </w:tcPr>
          <w:p>
            <w:pPr>
              <w:spacing w:after="0" w:line="252" w:lineRule="auto"/>
              <w:jc w:val="center"/>
            </w:pPr>
            <w:r>
              <w:rPr>
                <w:rFonts w:ascii="Calibri" w:hAnsi="Calibri"/>
                <w:b w:val="0"/>
                <w:color w:val="222222"/>
                <w:sz w:val="18"/>
              </w:rPr>
              <w:t>Full-time initially</w:t>
            </w:r>
          </w:p>
        </w:tc>
      </w:tr>
      <w:tr>
        <w:tc>
          <w:tcPr>
            <w:tcW w:type="dxa" w:w="2400"/>
            <w:tcMar>
              <w:top w:w="80" w:type="dxa"/>
              <w:start w:w="120" w:type="dxa"/>
              <w:bottom w:w="80" w:type="dxa"/>
              <w:end w:w="120" w:type="dxa"/>
            </w:tcMar>
            <w:vAlign w:val="center"/>
          </w:tcPr>
          <w:p>
            <w:pPr>
              <w:spacing w:after="0" w:line="252" w:lineRule="auto"/>
            </w:pPr>
            <w:r>
              <w:rPr>
                <w:rFonts w:ascii="Calibri" w:hAnsi="Calibri"/>
                <w:b/>
                <w:color w:val="222222"/>
                <w:sz w:val="18"/>
              </w:rPr>
              <w:t>Business analyst / process designer</w:t>
            </w:r>
          </w:p>
        </w:tc>
        <w:tc>
          <w:tcPr>
            <w:tcW w:type="dxa" w:w="5520"/>
            <w:tcMar>
              <w:top w:w="80" w:type="dxa"/>
              <w:start w:w="120" w:type="dxa"/>
              <w:bottom w:w="80" w:type="dxa"/>
              <w:end w:w="120" w:type="dxa"/>
            </w:tcMar>
            <w:vAlign w:val="center"/>
          </w:tcPr>
          <w:p>
            <w:pPr>
              <w:spacing w:after="0" w:line="252" w:lineRule="auto"/>
            </w:pPr>
            <w:r>
              <w:rPr>
                <w:rFonts w:ascii="Calibri" w:hAnsi="Calibri"/>
                <w:b w:val="0"/>
                <w:color w:val="222222"/>
                <w:sz w:val="18"/>
              </w:rPr>
              <w:t>Requirements, process maps and user stories</w:t>
            </w:r>
          </w:p>
        </w:tc>
        <w:tc>
          <w:tcPr>
            <w:tcW w:type="dxa" w:w="1440"/>
            <w:tcMar>
              <w:top w:w="80" w:type="dxa"/>
              <w:start w:w="120" w:type="dxa"/>
              <w:bottom w:w="80" w:type="dxa"/>
              <w:end w:w="120" w:type="dxa"/>
            </w:tcMar>
            <w:vAlign w:val="center"/>
          </w:tcPr>
          <w:p>
            <w:pPr>
              <w:spacing w:after="0" w:line="252" w:lineRule="auto"/>
              <w:jc w:val="center"/>
            </w:pPr>
            <w:r>
              <w:rPr>
                <w:rFonts w:ascii="Calibri" w:hAnsi="Calibri"/>
                <w:b w:val="0"/>
                <w:color w:val="222222"/>
                <w:sz w:val="18"/>
              </w:rPr>
              <w:t>1-3</w:t>
            </w:r>
          </w:p>
        </w:tc>
      </w:tr>
      <w:tr>
        <w:tc>
          <w:tcPr>
            <w:tcW w:type="dxa" w:w="2400"/>
            <w:shd w:fill="F2F4F7"/>
            <w:tcMar>
              <w:top w:w="80" w:type="dxa"/>
              <w:start w:w="120" w:type="dxa"/>
              <w:bottom w:w="80" w:type="dxa"/>
              <w:end w:w="120" w:type="dxa"/>
            </w:tcMar>
            <w:vAlign w:val="center"/>
          </w:tcPr>
          <w:p>
            <w:pPr>
              <w:spacing w:after="0" w:line="252" w:lineRule="auto"/>
            </w:pPr>
            <w:r>
              <w:rPr>
                <w:rFonts w:ascii="Calibri" w:hAnsi="Calibri"/>
                <w:b/>
                <w:color w:val="222222"/>
                <w:sz w:val="18"/>
              </w:rPr>
              <w:t>Salesforce administrator</w:t>
            </w:r>
          </w:p>
        </w:tc>
        <w:tc>
          <w:tcPr>
            <w:tcW w:type="dxa" w:w="5520"/>
            <w:shd w:fill="F2F4F7"/>
            <w:tcMar>
              <w:top w:w="80" w:type="dxa"/>
              <w:start w:w="120" w:type="dxa"/>
              <w:bottom w:w="80" w:type="dxa"/>
              <w:end w:w="120" w:type="dxa"/>
            </w:tcMar>
            <w:vAlign w:val="center"/>
          </w:tcPr>
          <w:p>
            <w:pPr>
              <w:spacing w:after="0" w:line="252" w:lineRule="auto"/>
            </w:pPr>
            <w:r>
              <w:rPr>
                <w:rFonts w:ascii="Calibri" w:hAnsi="Calibri"/>
                <w:b w:val="0"/>
                <w:color w:val="222222"/>
                <w:sz w:val="18"/>
              </w:rPr>
              <w:t>Configuration, permissions, Flow, reports and supportability</w:t>
            </w:r>
          </w:p>
        </w:tc>
        <w:tc>
          <w:tcPr>
            <w:tcW w:type="dxa" w:w="1440"/>
            <w:shd w:fill="F2F4F7"/>
            <w:tcMar>
              <w:top w:w="80" w:type="dxa"/>
              <w:start w:w="120" w:type="dxa"/>
              <w:bottom w:w="80" w:type="dxa"/>
              <w:end w:w="120" w:type="dxa"/>
            </w:tcMar>
            <w:vAlign w:val="center"/>
          </w:tcPr>
          <w:p>
            <w:pPr>
              <w:spacing w:after="0" w:line="252" w:lineRule="auto"/>
              <w:jc w:val="center"/>
            </w:pPr>
            <w:r>
              <w:rPr>
                <w:rFonts w:ascii="Calibri" w:hAnsi="Calibri"/>
                <w:b w:val="0"/>
                <w:color w:val="222222"/>
                <w:sz w:val="18"/>
              </w:rPr>
              <w:t>1-2</w:t>
            </w:r>
          </w:p>
        </w:tc>
      </w:tr>
      <w:tr>
        <w:tc>
          <w:tcPr>
            <w:tcW w:type="dxa" w:w="2400"/>
            <w:tcMar>
              <w:top w:w="80" w:type="dxa"/>
              <w:start w:w="120" w:type="dxa"/>
              <w:bottom w:w="80" w:type="dxa"/>
              <w:end w:w="120" w:type="dxa"/>
            </w:tcMar>
            <w:vAlign w:val="center"/>
          </w:tcPr>
          <w:p>
            <w:pPr>
              <w:spacing w:after="0" w:line="252" w:lineRule="auto"/>
            </w:pPr>
            <w:r>
              <w:rPr>
                <w:rFonts w:ascii="Calibri" w:hAnsi="Calibri"/>
                <w:b/>
                <w:color w:val="222222"/>
                <w:sz w:val="18"/>
              </w:rPr>
              <w:t>Salesforce developer</w:t>
            </w:r>
          </w:p>
        </w:tc>
        <w:tc>
          <w:tcPr>
            <w:tcW w:type="dxa" w:w="5520"/>
            <w:tcMar>
              <w:top w:w="80" w:type="dxa"/>
              <w:start w:w="120" w:type="dxa"/>
              <w:bottom w:w="80" w:type="dxa"/>
              <w:end w:w="120" w:type="dxa"/>
            </w:tcMar>
            <w:vAlign w:val="center"/>
          </w:tcPr>
          <w:p>
            <w:pPr>
              <w:spacing w:after="0" w:line="252" w:lineRule="auto"/>
            </w:pPr>
            <w:r>
              <w:rPr>
                <w:rFonts w:ascii="Calibri" w:hAnsi="Calibri"/>
                <w:b w:val="0"/>
                <w:color w:val="222222"/>
                <w:sz w:val="18"/>
              </w:rPr>
              <w:t>Apex, Lightning and complex extensions</w:t>
            </w:r>
          </w:p>
        </w:tc>
        <w:tc>
          <w:tcPr>
            <w:tcW w:type="dxa" w:w="1440"/>
            <w:tcMar>
              <w:top w:w="80" w:type="dxa"/>
              <w:start w:w="120" w:type="dxa"/>
              <w:bottom w:w="80" w:type="dxa"/>
              <w:end w:w="120" w:type="dxa"/>
            </w:tcMar>
            <w:vAlign w:val="center"/>
          </w:tcPr>
          <w:p>
            <w:pPr>
              <w:spacing w:after="0" w:line="252" w:lineRule="auto"/>
              <w:jc w:val="center"/>
            </w:pPr>
            <w:r>
              <w:rPr>
                <w:rFonts w:ascii="Calibri" w:hAnsi="Calibri"/>
                <w:b w:val="0"/>
                <w:color w:val="222222"/>
                <w:sz w:val="18"/>
              </w:rPr>
              <w:t>1-3</w:t>
            </w:r>
          </w:p>
        </w:tc>
      </w:tr>
      <w:tr>
        <w:tc>
          <w:tcPr>
            <w:tcW w:type="dxa" w:w="2400"/>
            <w:shd w:fill="F2F4F7"/>
            <w:tcMar>
              <w:top w:w="80" w:type="dxa"/>
              <w:start w:w="120" w:type="dxa"/>
              <w:bottom w:w="80" w:type="dxa"/>
              <w:end w:w="120" w:type="dxa"/>
            </w:tcMar>
            <w:vAlign w:val="center"/>
          </w:tcPr>
          <w:p>
            <w:pPr>
              <w:spacing w:after="0" w:line="252" w:lineRule="auto"/>
            </w:pPr>
            <w:r>
              <w:rPr>
                <w:rFonts w:ascii="Calibri" w:hAnsi="Calibri"/>
                <w:b/>
                <w:color w:val="222222"/>
                <w:sz w:val="18"/>
              </w:rPr>
              <w:t>Integration architect / developer</w:t>
            </w:r>
          </w:p>
        </w:tc>
        <w:tc>
          <w:tcPr>
            <w:tcW w:type="dxa" w:w="5520"/>
            <w:shd w:fill="F2F4F7"/>
            <w:tcMar>
              <w:top w:w="80" w:type="dxa"/>
              <w:start w:w="120" w:type="dxa"/>
              <w:bottom w:w="80" w:type="dxa"/>
              <w:end w:w="120" w:type="dxa"/>
            </w:tcMar>
            <w:vAlign w:val="center"/>
          </w:tcPr>
          <w:p>
            <w:pPr>
              <w:spacing w:after="0" w:line="252" w:lineRule="auto"/>
            </w:pPr>
            <w:r>
              <w:rPr>
                <w:rFonts w:ascii="Calibri" w:hAnsi="Calibri"/>
                <w:b w:val="0"/>
                <w:color w:val="222222"/>
                <w:sz w:val="18"/>
              </w:rPr>
              <w:t>ERP, identity, telephony, tax, payments and middleware</w:t>
            </w:r>
          </w:p>
        </w:tc>
        <w:tc>
          <w:tcPr>
            <w:tcW w:type="dxa" w:w="1440"/>
            <w:shd w:fill="F2F4F7"/>
            <w:tcMar>
              <w:top w:w="80" w:type="dxa"/>
              <w:start w:w="120" w:type="dxa"/>
              <w:bottom w:w="80" w:type="dxa"/>
              <w:end w:w="120" w:type="dxa"/>
            </w:tcMar>
            <w:vAlign w:val="center"/>
          </w:tcPr>
          <w:p>
            <w:pPr>
              <w:spacing w:after="0" w:line="252" w:lineRule="auto"/>
              <w:jc w:val="center"/>
            </w:pPr>
            <w:r>
              <w:rPr>
                <w:rFonts w:ascii="Calibri" w:hAnsi="Calibri"/>
                <w:b w:val="0"/>
                <w:color w:val="222222"/>
                <w:sz w:val="18"/>
              </w:rPr>
              <w:t>1-3</w:t>
            </w:r>
          </w:p>
        </w:tc>
      </w:tr>
      <w:tr>
        <w:tc>
          <w:tcPr>
            <w:tcW w:type="dxa" w:w="2400"/>
            <w:tcMar>
              <w:top w:w="80" w:type="dxa"/>
              <w:start w:w="120" w:type="dxa"/>
              <w:bottom w:w="80" w:type="dxa"/>
              <w:end w:w="120" w:type="dxa"/>
            </w:tcMar>
            <w:vAlign w:val="center"/>
          </w:tcPr>
          <w:p>
            <w:pPr>
              <w:spacing w:after="0" w:line="252" w:lineRule="auto"/>
            </w:pPr>
            <w:r>
              <w:rPr>
                <w:rFonts w:ascii="Calibri" w:hAnsi="Calibri"/>
                <w:b/>
                <w:color w:val="222222"/>
                <w:sz w:val="18"/>
              </w:rPr>
              <w:t>Data architect / migration specialist</w:t>
            </w:r>
          </w:p>
        </w:tc>
        <w:tc>
          <w:tcPr>
            <w:tcW w:type="dxa" w:w="5520"/>
            <w:tcMar>
              <w:top w:w="80" w:type="dxa"/>
              <w:start w:w="120" w:type="dxa"/>
              <w:bottom w:w="80" w:type="dxa"/>
              <w:end w:w="120" w:type="dxa"/>
            </w:tcMar>
            <w:vAlign w:val="center"/>
          </w:tcPr>
          <w:p>
            <w:pPr>
              <w:spacing w:after="0" w:line="252" w:lineRule="auto"/>
            </w:pPr>
            <w:r>
              <w:rPr>
                <w:rFonts w:ascii="Calibri" w:hAnsi="Calibri"/>
                <w:b w:val="0"/>
                <w:color w:val="222222"/>
                <w:sz w:val="18"/>
              </w:rPr>
              <w:t>Data model, cleansing, migration and reconciliation</w:t>
            </w:r>
          </w:p>
        </w:tc>
        <w:tc>
          <w:tcPr>
            <w:tcW w:type="dxa" w:w="1440"/>
            <w:tcMar>
              <w:top w:w="80" w:type="dxa"/>
              <w:start w:w="120" w:type="dxa"/>
              <w:bottom w:w="80" w:type="dxa"/>
              <w:end w:w="120" w:type="dxa"/>
            </w:tcMar>
            <w:vAlign w:val="center"/>
          </w:tcPr>
          <w:p>
            <w:pPr>
              <w:spacing w:after="0" w:line="252" w:lineRule="auto"/>
              <w:jc w:val="center"/>
            </w:pPr>
            <w:r>
              <w:rPr>
                <w:rFonts w:ascii="Calibri" w:hAnsi="Calibri"/>
                <w:b w:val="0"/>
                <w:color w:val="222222"/>
                <w:sz w:val="18"/>
              </w:rPr>
              <w:t>1-2</w:t>
            </w:r>
          </w:p>
        </w:tc>
      </w:tr>
      <w:tr>
        <w:tc>
          <w:tcPr>
            <w:tcW w:type="dxa" w:w="2400"/>
            <w:shd w:fill="F2F4F7"/>
            <w:tcMar>
              <w:top w:w="80" w:type="dxa"/>
              <w:start w:w="120" w:type="dxa"/>
              <w:bottom w:w="80" w:type="dxa"/>
              <w:end w:w="120" w:type="dxa"/>
            </w:tcMar>
            <w:vAlign w:val="center"/>
          </w:tcPr>
          <w:p>
            <w:pPr>
              <w:spacing w:after="0" w:line="252" w:lineRule="auto"/>
            </w:pPr>
            <w:r>
              <w:rPr>
                <w:rFonts w:ascii="Calibri" w:hAnsi="Calibri"/>
                <w:b/>
                <w:color w:val="222222"/>
                <w:sz w:val="18"/>
              </w:rPr>
              <w:t>QA / test lead</w:t>
            </w:r>
          </w:p>
        </w:tc>
        <w:tc>
          <w:tcPr>
            <w:tcW w:type="dxa" w:w="5520"/>
            <w:shd w:fill="F2F4F7"/>
            <w:tcMar>
              <w:top w:w="80" w:type="dxa"/>
              <w:start w:w="120" w:type="dxa"/>
              <w:bottom w:w="80" w:type="dxa"/>
              <w:end w:w="120" w:type="dxa"/>
            </w:tcMar>
            <w:vAlign w:val="center"/>
          </w:tcPr>
          <w:p>
            <w:pPr>
              <w:spacing w:after="0" w:line="252" w:lineRule="auto"/>
            </w:pPr>
            <w:r>
              <w:rPr>
                <w:rFonts w:ascii="Calibri" w:hAnsi="Calibri"/>
                <w:b w:val="0"/>
                <w:color w:val="222222"/>
                <w:sz w:val="18"/>
              </w:rPr>
              <w:t>Regression, integration, performance and UAT</w:t>
            </w:r>
          </w:p>
        </w:tc>
        <w:tc>
          <w:tcPr>
            <w:tcW w:type="dxa" w:w="1440"/>
            <w:shd w:fill="F2F4F7"/>
            <w:tcMar>
              <w:top w:w="80" w:type="dxa"/>
              <w:start w:w="120" w:type="dxa"/>
              <w:bottom w:w="80" w:type="dxa"/>
              <w:end w:w="120" w:type="dxa"/>
            </w:tcMar>
            <w:vAlign w:val="center"/>
          </w:tcPr>
          <w:p>
            <w:pPr>
              <w:spacing w:after="0" w:line="252" w:lineRule="auto"/>
              <w:jc w:val="center"/>
            </w:pPr>
            <w:r>
              <w:rPr>
                <w:rFonts w:ascii="Calibri" w:hAnsi="Calibri"/>
                <w:b w:val="0"/>
                <w:color w:val="222222"/>
                <w:sz w:val="18"/>
              </w:rPr>
              <w:t>1-3</w:t>
            </w:r>
          </w:p>
        </w:tc>
      </w:tr>
      <w:tr>
        <w:tc>
          <w:tcPr>
            <w:tcW w:type="dxa" w:w="2400"/>
            <w:tcMar>
              <w:top w:w="80" w:type="dxa"/>
              <w:start w:w="120" w:type="dxa"/>
              <w:bottom w:w="80" w:type="dxa"/>
              <w:end w:w="120" w:type="dxa"/>
            </w:tcMar>
            <w:vAlign w:val="center"/>
          </w:tcPr>
          <w:p>
            <w:pPr>
              <w:spacing w:after="0" w:line="252" w:lineRule="auto"/>
            </w:pPr>
            <w:r>
              <w:rPr>
                <w:rFonts w:ascii="Calibri" w:hAnsi="Calibri"/>
                <w:b/>
                <w:color w:val="222222"/>
                <w:sz w:val="18"/>
              </w:rPr>
              <w:t>DevOps / release engineer</w:t>
            </w:r>
          </w:p>
        </w:tc>
        <w:tc>
          <w:tcPr>
            <w:tcW w:type="dxa" w:w="5520"/>
            <w:tcMar>
              <w:top w:w="80" w:type="dxa"/>
              <w:start w:w="120" w:type="dxa"/>
              <w:bottom w:w="80" w:type="dxa"/>
              <w:end w:w="120" w:type="dxa"/>
            </w:tcMar>
            <w:vAlign w:val="center"/>
          </w:tcPr>
          <w:p>
            <w:pPr>
              <w:spacing w:after="0" w:line="252" w:lineRule="auto"/>
            </w:pPr>
            <w:r>
              <w:rPr>
                <w:rFonts w:ascii="Calibri" w:hAnsi="Calibri"/>
                <w:b w:val="0"/>
                <w:color w:val="222222"/>
                <w:sz w:val="18"/>
              </w:rPr>
              <w:t>Git, CI/CD, environments and deployments</w:t>
            </w:r>
          </w:p>
        </w:tc>
        <w:tc>
          <w:tcPr>
            <w:tcW w:type="dxa" w:w="1440"/>
            <w:tcMar>
              <w:top w:w="80" w:type="dxa"/>
              <w:start w:w="120" w:type="dxa"/>
              <w:bottom w:w="80" w:type="dxa"/>
              <w:end w:w="120" w:type="dxa"/>
            </w:tcMar>
            <w:vAlign w:val="center"/>
          </w:tcPr>
          <w:p>
            <w:pPr>
              <w:spacing w:after="0" w:line="252" w:lineRule="auto"/>
              <w:jc w:val="center"/>
            </w:pPr>
            <w:r>
              <w:rPr>
                <w:rFonts w:ascii="Calibri" w:hAnsi="Calibri"/>
                <w:b w:val="0"/>
                <w:color w:val="222222"/>
                <w:sz w:val="18"/>
              </w:rPr>
              <w:t>0.5-1</w:t>
            </w:r>
          </w:p>
        </w:tc>
      </w:tr>
      <w:tr>
        <w:tc>
          <w:tcPr>
            <w:tcW w:type="dxa" w:w="2400"/>
            <w:shd w:fill="F2F4F7"/>
            <w:tcMar>
              <w:top w:w="80" w:type="dxa"/>
              <w:start w:w="120" w:type="dxa"/>
              <w:bottom w:w="80" w:type="dxa"/>
              <w:end w:w="120" w:type="dxa"/>
            </w:tcMar>
            <w:vAlign w:val="center"/>
          </w:tcPr>
          <w:p>
            <w:pPr>
              <w:spacing w:after="0" w:line="252" w:lineRule="auto"/>
            </w:pPr>
            <w:r>
              <w:rPr>
                <w:rFonts w:ascii="Calibri" w:hAnsi="Calibri"/>
                <w:b/>
                <w:color w:val="222222"/>
                <w:sz w:val="18"/>
              </w:rPr>
              <w:t>Change and adoption lead</w:t>
            </w:r>
          </w:p>
        </w:tc>
        <w:tc>
          <w:tcPr>
            <w:tcW w:type="dxa" w:w="5520"/>
            <w:shd w:fill="F2F4F7"/>
            <w:tcMar>
              <w:top w:w="80" w:type="dxa"/>
              <w:start w:w="120" w:type="dxa"/>
              <w:bottom w:w="80" w:type="dxa"/>
              <w:end w:w="120" w:type="dxa"/>
            </w:tcMar>
            <w:vAlign w:val="center"/>
          </w:tcPr>
          <w:p>
            <w:pPr>
              <w:spacing w:after="0" w:line="252" w:lineRule="auto"/>
            </w:pPr>
            <w:r>
              <w:rPr>
                <w:rFonts w:ascii="Calibri" w:hAnsi="Calibri"/>
                <w:b w:val="0"/>
                <w:color w:val="222222"/>
                <w:sz w:val="18"/>
              </w:rPr>
              <w:t>Training, communications and adoption measurement</w:t>
            </w:r>
          </w:p>
        </w:tc>
        <w:tc>
          <w:tcPr>
            <w:tcW w:type="dxa" w:w="1440"/>
            <w:shd w:fill="F2F4F7"/>
            <w:tcMar>
              <w:top w:w="80" w:type="dxa"/>
              <w:start w:w="120" w:type="dxa"/>
              <w:bottom w:w="80" w:type="dxa"/>
              <w:end w:w="120" w:type="dxa"/>
            </w:tcMar>
            <w:vAlign w:val="center"/>
          </w:tcPr>
          <w:p>
            <w:pPr>
              <w:spacing w:after="0" w:line="252" w:lineRule="auto"/>
              <w:jc w:val="center"/>
            </w:pPr>
            <w:r>
              <w:rPr>
                <w:rFonts w:ascii="Calibri" w:hAnsi="Calibri"/>
                <w:b w:val="0"/>
                <w:color w:val="222222"/>
                <w:sz w:val="18"/>
              </w:rPr>
              <w:t>1</w:t>
            </w:r>
          </w:p>
        </w:tc>
      </w:tr>
      <w:tr>
        <w:tc>
          <w:tcPr>
            <w:tcW w:type="dxa" w:w="2400"/>
            <w:tcMar>
              <w:top w:w="80" w:type="dxa"/>
              <w:start w:w="120" w:type="dxa"/>
              <w:bottom w:w="80" w:type="dxa"/>
              <w:end w:w="120" w:type="dxa"/>
            </w:tcMar>
            <w:vAlign w:val="center"/>
          </w:tcPr>
          <w:p>
            <w:pPr>
              <w:spacing w:after="0" w:line="252" w:lineRule="auto"/>
            </w:pPr>
            <w:r>
              <w:rPr>
                <w:rFonts w:ascii="Calibri" w:hAnsi="Calibri"/>
                <w:b/>
                <w:color w:val="222222"/>
                <w:sz w:val="18"/>
              </w:rPr>
              <w:t>Security / privacy specialist</w:t>
            </w:r>
          </w:p>
        </w:tc>
        <w:tc>
          <w:tcPr>
            <w:tcW w:type="dxa" w:w="5520"/>
            <w:tcMar>
              <w:top w:w="80" w:type="dxa"/>
              <w:start w:w="120" w:type="dxa"/>
              <w:bottom w:w="80" w:type="dxa"/>
              <w:end w:w="120" w:type="dxa"/>
            </w:tcMar>
            <w:vAlign w:val="center"/>
          </w:tcPr>
          <w:p>
            <w:pPr>
              <w:spacing w:after="0" w:line="252" w:lineRule="auto"/>
            </w:pPr>
            <w:r>
              <w:rPr>
                <w:rFonts w:ascii="Calibri" w:hAnsi="Calibri"/>
                <w:b w:val="0"/>
                <w:color w:val="222222"/>
                <w:sz w:val="18"/>
              </w:rPr>
              <w:t>Identity, access, audit, retention and compliance</w:t>
            </w:r>
          </w:p>
        </w:tc>
        <w:tc>
          <w:tcPr>
            <w:tcW w:type="dxa" w:w="1440"/>
            <w:tcMar>
              <w:top w:w="80" w:type="dxa"/>
              <w:start w:w="120" w:type="dxa"/>
              <w:bottom w:w="80" w:type="dxa"/>
              <w:end w:w="120" w:type="dxa"/>
            </w:tcMar>
            <w:vAlign w:val="center"/>
          </w:tcPr>
          <w:p>
            <w:pPr>
              <w:spacing w:after="0" w:line="252" w:lineRule="auto"/>
              <w:jc w:val="center"/>
            </w:pPr>
            <w:r>
              <w:rPr>
                <w:rFonts w:ascii="Calibri" w:hAnsi="Calibri"/>
                <w:b w:val="0"/>
                <w:color w:val="222222"/>
                <w:sz w:val="18"/>
              </w:rPr>
              <w:t>Part-time</w:t>
            </w:r>
          </w:p>
        </w:tc>
      </w:tr>
    </w:tbl>
    <w:p>
      <w:pPr>
        <w:pStyle w:val="Heading1"/>
        <w:keepNext/>
      </w:pPr>
      <w:r>
        <w:rPr>
          <w:rFonts w:ascii="Calibri" w:hAnsi="Calibri"/>
          <w:b/>
          <w:color w:val="2E74B5"/>
          <w:sz w:val="32"/>
        </w:rPr>
        <w:t>3. Business workstreams and subject-matter experts</w:t>
      </w:r>
    </w:p>
    <w:p>
      <w:pPr>
        <w:pStyle w:val="Heading2"/>
        <w:keepNext/>
      </w:pPr>
      <w:r>
        <w:rPr>
          <w:rFonts w:ascii="Calibri" w:hAnsi="Calibri"/>
          <w:b/>
          <w:color w:val="2E74B5"/>
          <w:sz w:val="26"/>
        </w:rPr>
        <w:t>Sales Cloud</w:t>
      </w:r>
    </w:p>
    <w:p>
      <w:pPr>
        <w:pStyle w:val="ListBullet"/>
        <w:spacing w:after="80" w:line="300" w:lineRule="auto"/>
        <w:ind w:left="540" w:hanging="271"/>
      </w:pPr>
      <w:r>
        <w:rPr>
          <w:rFonts w:ascii="Calibri" w:hAnsi="Calibri"/>
          <w:color w:val="222222"/>
          <w:sz w:val="22"/>
        </w:rPr>
        <w:t>Lead generation, qualification and conversion</w:t>
      </w:r>
    </w:p>
    <w:p>
      <w:pPr>
        <w:pStyle w:val="ListBullet"/>
        <w:spacing w:after="80" w:line="300" w:lineRule="auto"/>
        <w:ind w:left="540" w:hanging="271"/>
      </w:pPr>
      <w:r>
        <w:rPr>
          <w:rFonts w:ascii="Calibri" w:hAnsi="Calibri"/>
          <w:color w:val="222222"/>
          <w:sz w:val="22"/>
        </w:rPr>
        <w:t>Account, contact and customer hierarchy management</w:t>
      </w:r>
    </w:p>
    <w:p>
      <w:pPr>
        <w:pStyle w:val="ListBullet"/>
        <w:spacing w:after="80" w:line="300" w:lineRule="auto"/>
        <w:ind w:left="540" w:hanging="271"/>
      </w:pPr>
      <w:r>
        <w:rPr>
          <w:rFonts w:ascii="Calibri" w:hAnsi="Calibri"/>
          <w:color w:val="222222"/>
          <w:sz w:val="22"/>
        </w:rPr>
        <w:t>Opportunity stages, sales methodology and pipeline governance</w:t>
      </w:r>
    </w:p>
    <w:p>
      <w:pPr>
        <w:pStyle w:val="ListBullet"/>
        <w:spacing w:after="80" w:line="300" w:lineRule="auto"/>
        <w:ind w:left="540" w:hanging="271"/>
      </w:pPr>
      <w:r>
        <w:rPr>
          <w:rFonts w:ascii="Calibri" w:hAnsi="Calibri"/>
          <w:color w:val="222222"/>
          <w:sz w:val="22"/>
        </w:rPr>
        <w:t>Forecasting, quotas, territories and sales performance measures</w:t>
      </w:r>
    </w:p>
    <w:p>
      <w:pPr>
        <w:pStyle w:val="ListBullet"/>
        <w:spacing w:after="80" w:line="300" w:lineRule="auto"/>
        <w:ind w:left="540" w:hanging="271"/>
      </w:pPr>
      <w:r>
        <w:rPr>
          <w:rFonts w:ascii="Calibri" w:hAnsi="Calibri"/>
          <w:color w:val="222222"/>
          <w:sz w:val="22"/>
        </w:rPr>
        <w:t>Partner or channel sales, where applicable</w:t>
      </w:r>
    </w:p>
    <w:p>
      <w:pPr>
        <w:pStyle w:val="ListBullet"/>
        <w:spacing w:after="80" w:line="300" w:lineRule="auto"/>
        <w:ind w:left="540" w:hanging="271"/>
      </w:pPr>
      <w:r>
        <w:rPr>
          <w:rFonts w:ascii="Calibri" w:hAnsi="Calibri"/>
          <w:color w:val="222222"/>
          <w:sz w:val="22"/>
        </w:rPr>
        <w:t>Approval and discount authority</w:t>
      </w:r>
    </w:p>
    <w:p>
      <w:pPr>
        <w:pStyle w:val="ListBullet"/>
        <w:spacing w:after="80" w:line="300" w:lineRule="auto"/>
        <w:ind w:left="540" w:hanging="271"/>
      </w:pPr>
      <w:r>
        <w:rPr>
          <w:rFonts w:ascii="Calibri" w:hAnsi="Calibri"/>
          <w:color w:val="222222"/>
          <w:sz w:val="22"/>
        </w:rPr>
        <w:t>Sales reporting, dashboards and adoption metrics</w:t>
      </w:r>
    </w:p>
    <w:p>
      <w:pPr>
        <w:pStyle w:val="Heading2"/>
        <w:keepNext/>
      </w:pPr>
      <w:r>
        <w:rPr>
          <w:rFonts w:ascii="Calibri" w:hAnsi="Calibri"/>
          <w:b/>
          <w:color w:val="2E74B5"/>
          <w:sz w:val="26"/>
        </w:rPr>
        <w:t>Service Cloud</w:t>
      </w:r>
    </w:p>
    <w:p>
      <w:pPr>
        <w:pStyle w:val="ListBullet"/>
        <w:spacing w:after="80" w:line="300" w:lineRule="auto"/>
        <w:ind w:left="540" w:hanging="271"/>
      </w:pPr>
      <w:r>
        <w:rPr>
          <w:rFonts w:ascii="Calibri" w:hAnsi="Calibri"/>
          <w:color w:val="222222"/>
          <w:sz w:val="22"/>
        </w:rPr>
        <w:t>Case intake, classification, routing, queues and escalation</w:t>
      </w:r>
    </w:p>
    <w:p>
      <w:pPr>
        <w:pStyle w:val="ListBullet"/>
        <w:spacing w:after="80" w:line="300" w:lineRule="auto"/>
        <w:ind w:left="540" w:hanging="271"/>
      </w:pPr>
      <w:r>
        <w:rPr>
          <w:rFonts w:ascii="Calibri" w:hAnsi="Calibri"/>
          <w:color w:val="222222"/>
          <w:sz w:val="22"/>
        </w:rPr>
        <w:t>Service levels, entitlements and milestones</w:t>
      </w:r>
    </w:p>
    <w:p>
      <w:pPr>
        <w:pStyle w:val="ListBullet"/>
        <w:spacing w:after="80" w:line="300" w:lineRule="auto"/>
        <w:ind w:left="540" w:hanging="271"/>
      </w:pPr>
      <w:r>
        <w:rPr>
          <w:rFonts w:ascii="Calibri" w:hAnsi="Calibri"/>
          <w:color w:val="222222"/>
          <w:sz w:val="22"/>
        </w:rPr>
        <w:t>Knowledge creation, approval, publication and retirement</w:t>
      </w:r>
    </w:p>
    <w:p>
      <w:pPr>
        <w:pStyle w:val="ListBullet"/>
        <w:spacing w:after="80" w:line="300" w:lineRule="auto"/>
        <w:ind w:left="540" w:hanging="271"/>
      </w:pPr>
      <w:r>
        <w:rPr>
          <w:rFonts w:ascii="Calibri" w:hAnsi="Calibri"/>
          <w:color w:val="222222"/>
          <w:sz w:val="22"/>
        </w:rPr>
        <w:t>Omni-Channel, email, chat, messaging and voice</w:t>
      </w:r>
    </w:p>
    <w:p>
      <w:pPr>
        <w:pStyle w:val="ListBullet"/>
        <w:spacing w:after="80" w:line="300" w:lineRule="auto"/>
        <w:ind w:left="540" w:hanging="271"/>
      </w:pPr>
      <w:r>
        <w:rPr>
          <w:rFonts w:ascii="Calibri" w:hAnsi="Calibri"/>
          <w:color w:val="222222"/>
          <w:sz w:val="22"/>
        </w:rPr>
        <w:t>Contact-center operations and quality management</w:t>
      </w:r>
    </w:p>
    <w:p>
      <w:pPr>
        <w:pStyle w:val="ListBullet"/>
        <w:spacing w:after="80" w:line="300" w:lineRule="auto"/>
        <w:ind w:left="540" w:hanging="271"/>
      </w:pPr>
      <w:r>
        <w:rPr>
          <w:rFonts w:ascii="Calibri" w:hAnsi="Calibri"/>
          <w:color w:val="222222"/>
          <w:sz w:val="22"/>
        </w:rPr>
        <w:t>Complaints, returns, warranties and field service, if applicable</w:t>
      </w:r>
    </w:p>
    <w:p>
      <w:pPr>
        <w:pStyle w:val="ListBullet"/>
        <w:spacing w:after="80" w:line="300" w:lineRule="auto"/>
        <w:ind w:left="540" w:hanging="271"/>
      </w:pPr>
      <w:r>
        <w:rPr>
          <w:rFonts w:ascii="Calibri" w:hAnsi="Calibri"/>
          <w:color w:val="222222"/>
          <w:sz w:val="22"/>
        </w:rPr>
        <w:t>Customer portals, self-service and service analytics</w:t>
      </w:r>
    </w:p>
    <w:p>
      <w:pPr>
        <w:pStyle w:val="Heading2"/>
        <w:keepNext/>
      </w:pPr>
      <w:r>
        <w:rPr>
          <w:rFonts w:ascii="Calibri" w:hAnsi="Calibri"/>
          <w:b/>
          <w:color w:val="2E74B5"/>
          <w:sz w:val="26"/>
        </w:rPr>
        <w:t>Revenue Cloud / Revenue Management</w:t>
      </w:r>
    </w:p>
    <w:p>
      <w:pPr>
        <w:spacing w:after="120" w:line="300" w:lineRule="auto"/>
      </w:pPr>
      <w:r>
        <w:rPr>
          <w:rFonts w:ascii="Calibri" w:hAnsi="Calibri"/>
          <w:color w:val="222222"/>
          <w:sz w:val="22"/>
        </w:rPr>
        <w:t>This is normally the most specialized workstream. It needs SMEs who understand the complete product-to-cash lifecycle, including finance and operational controls.</w:t>
      </w:r>
    </w:p>
    <w:p>
      <w:pPr>
        <w:pStyle w:val="ListBullet"/>
        <w:spacing w:after="80" w:line="300" w:lineRule="auto"/>
        <w:ind w:left="540" w:hanging="271"/>
      </w:pPr>
      <w:r>
        <w:rPr>
          <w:rFonts w:ascii="Calibri" w:hAnsi="Calibri"/>
          <w:color w:val="222222"/>
          <w:sz w:val="22"/>
        </w:rPr>
        <w:t>Product ownership, catalog structure, bundles, attributes and selling models</w:t>
      </w:r>
    </w:p>
    <w:p>
      <w:pPr>
        <w:pStyle w:val="ListBullet"/>
        <w:spacing w:after="80" w:line="300" w:lineRule="auto"/>
        <w:ind w:left="540" w:hanging="271"/>
      </w:pPr>
      <w:r>
        <w:rPr>
          <w:rFonts w:ascii="Calibri" w:hAnsi="Calibri"/>
          <w:color w:val="222222"/>
          <w:sz w:val="22"/>
        </w:rPr>
        <w:t>Pricing methods, price books, discount policies and approval thresholds</w:t>
      </w:r>
    </w:p>
    <w:p>
      <w:pPr>
        <w:pStyle w:val="ListBullet"/>
        <w:spacing w:after="80" w:line="300" w:lineRule="auto"/>
        <w:ind w:left="540" w:hanging="271"/>
      </w:pPr>
      <w:r>
        <w:rPr>
          <w:rFonts w:ascii="Calibri" w:hAnsi="Calibri"/>
          <w:color w:val="222222"/>
          <w:sz w:val="22"/>
        </w:rPr>
        <w:t>Quote configuration and generation</w:t>
      </w:r>
    </w:p>
    <w:p>
      <w:pPr>
        <w:pStyle w:val="ListBullet"/>
        <w:spacing w:after="80" w:line="300" w:lineRule="auto"/>
        <w:ind w:left="540" w:hanging="271"/>
      </w:pPr>
      <w:r>
        <w:rPr>
          <w:rFonts w:ascii="Calibri" w:hAnsi="Calibri"/>
          <w:color w:val="222222"/>
          <w:sz w:val="22"/>
        </w:rPr>
        <w:t>Contracting, legal clauses and commercial governance</w:t>
      </w:r>
    </w:p>
    <w:p>
      <w:pPr>
        <w:pStyle w:val="ListBullet"/>
        <w:spacing w:after="80" w:line="300" w:lineRule="auto"/>
        <w:ind w:left="540" w:hanging="271"/>
      </w:pPr>
      <w:r>
        <w:rPr>
          <w:rFonts w:ascii="Calibri" w:hAnsi="Calibri"/>
          <w:color w:val="222222"/>
          <w:sz w:val="22"/>
        </w:rPr>
        <w:t>Order capture, orchestration and fulfillment handoffs</w:t>
      </w:r>
    </w:p>
    <w:p>
      <w:pPr>
        <w:pStyle w:val="ListBullet"/>
        <w:spacing w:after="80" w:line="300" w:lineRule="auto"/>
        <w:ind w:left="540" w:hanging="271"/>
      </w:pPr>
      <w:r>
        <w:rPr>
          <w:rFonts w:ascii="Calibri" w:hAnsi="Calibri"/>
          <w:color w:val="222222"/>
          <w:sz w:val="22"/>
        </w:rPr>
        <w:t>Subscriptions, amendments, renewals, cancellations and asset lifecycle</w:t>
      </w:r>
    </w:p>
    <w:p>
      <w:pPr>
        <w:pStyle w:val="ListBullet"/>
        <w:spacing w:after="80" w:line="300" w:lineRule="auto"/>
        <w:ind w:left="540" w:hanging="271"/>
      </w:pPr>
      <w:r>
        <w:rPr>
          <w:rFonts w:ascii="Calibri" w:hAnsi="Calibri"/>
          <w:color w:val="222222"/>
          <w:sz w:val="22"/>
        </w:rPr>
        <w:t>Usage or consumption rating, if applicable</w:t>
      </w:r>
    </w:p>
    <w:p>
      <w:pPr>
        <w:pStyle w:val="ListBullet"/>
        <w:spacing w:after="80" w:line="300" w:lineRule="auto"/>
        <w:ind w:left="540" w:hanging="271"/>
      </w:pPr>
      <w:r>
        <w:rPr>
          <w:rFonts w:ascii="Calibri" w:hAnsi="Calibri"/>
          <w:color w:val="222222"/>
          <w:sz w:val="22"/>
        </w:rPr>
        <w:t>Billing schedules, invoicing, credits, taxation, payments and collections</w:t>
      </w:r>
    </w:p>
    <w:p>
      <w:pPr>
        <w:pStyle w:val="ListBullet"/>
        <w:spacing w:after="80" w:line="300" w:lineRule="auto"/>
        <w:ind w:left="540" w:hanging="271"/>
      </w:pPr>
      <w:r>
        <w:rPr>
          <w:rFonts w:ascii="Calibri" w:hAnsi="Calibri"/>
          <w:color w:val="222222"/>
          <w:sz w:val="22"/>
        </w:rPr>
        <w:t>ERP, finance, tax and revenue-recognition integration boundaries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after="0" w:line="276" w:lineRule="auto"/>
            </w:pPr>
            <w:r>
              <w:rPr>
                <w:rFonts w:ascii="Calibri" w:hAnsi="Calibri"/>
                <w:b/>
                <w:color w:val="2E74B5"/>
                <w:sz w:val="22"/>
              </w:rPr>
              <w:t xml:space="preserve">Staffing principle  </w:t>
            </w:r>
            <w:r>
              <w:rPr>
                <w:rFonts w:ascii="Calibri" w:hAnsi="Calibri"/>
                <w:color w:val="222222"/>
                <w:sz w:val="22"/>
              </w:rPr>
              <w:t>A Salesforce configurator without product-to-cash domain expertise is not sufficient for Revenue Cloud. Pair platform specialists with RevOps, product, finance, tax, legal and order-management owners.</w:t>
            </w:r>
          </w:p>
        </w:tc>
      </w:tr>
    </w:tbl>
    <w:p>
      <w:pPr>
        <w:spacing w:after="20"/>
      </w:pPr>
    </w:p>
    <w:p>
      <w:pPr>
        <w:pStyle w:val="Heading1"/>
        <w:keepNext/>
      </w:pPr>
      <w:r>
        <w:rPr>
          <w:rFonts w:ascii="Calibri" w:hAnsi="Calibri"/>
          <w:b/>
          <w:color w:val="2E74B5"/>
          <w:sz w:val="32"/>
        </w:rPr>
        <w:t>4. Required technical skills</w:t>
      </w:r>
    </w:p>
    <w:p>
      <w:pPr>
        <w:pStyle w:val="ListBullet"/>
        <w:spacing w:after="80" w:line="300" w:lineRule="auto"/>
        <w:ind w:left="540" w:hanging="271"/>
      </w:pPr>
      <w:r>
        <w:rPr>
          <w:rFonts w:ascii="Calibri" w:hAnsi="Calibri"/>
          <w:color w:val="222222"/>
          <w:sz w:val="22"/>
        </w:rPr>
        <w:t>Salesforce data modeling and the shared Sales, Service and Revenue object model</w:t>
      </w:r>
    </w:p>
    <w:p>
      <w:pPr>
        <w:pStyle w:val="ListBullet"/>
        <w:spacing w:after="80" w:line="300" w:lineRule="auto"/>
        <w:ind w:left="540" w:hanging="271"/>
      </w:pPr>
      <w:r>
        <w:rPr>
          <w:rFonts w:ascii="Calibri" w:hAnsi="Calibri"/>
          <w:color w:val="222222"/>
          <w:sz w:val="22"/>
        </w:rPr>
        <w:t>Sales Cloud configuration, forecasting, territories and pipeline design</w:t>
      </w:r>
    </w:p>
    <w:p>
      <w:pPr>
        <w:pStyle w:val="ListBullet"/>
        <w:spacing w:after="80" w:line="300" w:lineRule="auto"/>
        <w:ind w:left="540" w:hanging="271"/>
      </w:pPr>
      <w:r>
        <w:rPr>
          <w:rFonts w:ascii="Calibri" w:hAnsi="Calibri"/>
          <w:color w:val="222222"/>
          <w:sz w:val="22"/>
        </w:rPr>
        <w:t>Service Cloud, Knowledge, Omni-Channel, entitlements and contact-center patterns</w:t>
      </w:r>
    </w:p>
    <w:p>
      <w:pPr>
        <w:pStyle w:val="ListBullet"/>
        <w:spacing w:after="80" w:line="300" w:lineRule="auto"/>
        <w:ind w:left="540" w:hanging="271"/>
      </w:pPr>
      <w:r>
        <w:rPr>
          <w:rFonts w:ascii="Calibri" w:hAnsi="Calibri"/>
          <w:color w:val="222222"/>
          <w:sz w:val="22"/>
        </w:rPr>
        <w:t>Revenue Cloud catalog, configuration, pricing, quoting, contracts, orders, assets and billing</w:t>
      </w:r>
    </w:p>
    <w:p>
      <w:pPr>
        <w:pStyle w:val="ListBullet"/>
        <w:spacing w:after="80" w:line="300" w:lineRule="auto"/>
        <w:ind w:left="540" w:hanging="271"/>
      </w:pPr>
      <w:r>
        <w:rPr>
          <w:rFonts w:ascii="Calibri" w:hAnsi="Calibri"/>
          <w:color w:val="222222"/>
          <w:sz w:val="22"/>
        </w:rPr>
        <w:t>Flow, approval automation and error-handling patterns</w:t>
      </w:r>
    </w:p>
    <w:p>
      <w:pPr>
        <w:pStyle w:val="ListBullet"/>
        <w:spacing w:after="80" w:line="300" w:lineRule="auto"/>
        <w:ind w:left="540" w:hanging="271"/>
      </w:pPr>
      <w:r>
        <w:rPr>
          <w:rFonts w:ascii="Calibri" w:hAnsi="Calibri"/>
          <w:color w:val="222222"/>
          <w:sz w:val="22"/>
        </w:rPr>
        <w:t>Apex and Lightning Web Components for justified extensions</w:t>
      </w:r>
    </w:p>
    <w:p>
      <w:pPr>
        <w:pStyle w:val="ListBullet"/>
        <w:spacing w:after="80" w:line="300" w:lineRule="auto"/>
        <w:ind w:left="540" w:hanging="271"/>
      </w:pPr>
      <w:r>
        <w:rPr>
          <w:rFonts w:ascii="Calibri" w:hAnsi="Calibri"/>
          <w:color w:val="222222"/>
          <w:sz w:val="22"/>
        </w:rPr>
        <w:t>REST, SOAP, Bulk API, Platform Events and event-driven integration</w:t>
      </w:r>
    </w:p>
    <w:p>
      <w:pPr>
        <w:pStyle w:val="ListBullet"/>
        <w:spacing w:after="80" w:line="300" w:lineRule="auto"/>
        <w:ind w:left="540" w:hanging="271"/>
      </w:pPr>
      <w:r>
        <w:rPr>
          <w:rFonts w:ascii="Calibri" w:hAnsi="Calibri"/>
          <w:color w:val="222222"/>
          <w:sz w:val="22"/>
        </w:rPr>
        <w:t>Identity, SSO, MFA, connected apps, named credentials and integration-user design</w:t>
      </w:r>
    </w:p>
    <w:p>
      <w:pPr>
        <w:pStyle w:val="ListBullet"/>
        <w:spacing w:after="80" w:line="300" w:lineRule="auto"/>
        <w:ind w:left="540" w:hanging="271"/>
      </w:pPr>
      <w:r>
        <w:rPr>
          <w:rFonts w:ascii="Calibri" w:hAnsi="Calibri"/>
          <w:color w:val="222222"/>
          <w:sz w:val="22"/>
        </w:rPr>
        <w:t>Role hierarchy, sharing, permission sets, field-level security and auditability</w:t>
      </w:r>
    </w:p>
    <w:p>
      <w:pPr>
        <w:pStyle w:val="ListBullet"/>
        <w:spacing w:after="80" w:line="300" w:lineRule="auto"/>
        <w:ind w:left="540" w:hanging="271"/>
      </w:pPr>
      <w:r>
        <w:rPr>
          <w:rFonts w:ascii="Calibri" w:hAnsi="Calibri"/>
          <w:color w:val="222222"/>
          <w:sz w:val="22"/>
        </w:rPr>
        <w:t>Data migration, cleansing, deduplication, reconciliation and archival</w:t>
      </w:r>
    </w:p>
    <w:p>
      <w:pPr>
        <w:pStyle w:val="ListBullet"/>
        <w:spacing w:after="80" w:line="300" w:lineRule="auto"/>
        <w:ind w:left="540" w:hanging="271"/>
      </w:pPr>
      <w:r>
        <w:rPr>
          <w:rFonts w:ascii="Calibri" w:hAnsi="Calibri"/>
          <w:color w:val="222222"/>
          <w:sz w:val="22"/>
        </w:rPr>
        <w:t>Reports, dashboards, analytics and KPI design</w:t>
      </w:r>
    </w:p>
    <w:p>
      <w:pPr>
        <w:pStyle w:val="ListBullet"/>
        <w:spacing w:after="80" w:line="300" w:lineRule="auto"/>
        <w:ind w:left="540" w:hanging="271"/>
      </w:pPr>
      <w:r>
        <w:rPr>
          <w:rFonts w:ascii="Calibri" w:hAnsi="Calibri"/>
          <w:color w:val="222222"/>
          <w:sz w:val="22"/>
        </w:rPr>
        <w:t>Salesforce CLI, Git, CI/CD, test automation and release governance</w:t>
      </w:r>
    </w:p>
    <w:p>
      <w:pPr>
        <w:pStyle w:val="ListBullet"/>
        <w:spacing w:after="80" w:line="300" w:lineRule="auto"/>
        <w:ind w:left="540" w:hanging="271"/>
      </w:pPr>
      <w:r>
        <w:rPr>
          <w:rFonts w:ascii="Calibri" w:hAnsi="Calibri"/>
          <w:color w:val="222222"/>
          <w:sz w:val="22"/>
        </w:rPr>
        <w:t>Platform limits, performance, large data volumes and resilient solution design</w:t>
      </w:r>
    </w:p>
    <w:p>
      <w:pPr>
        <w:pStyle w:val="ListBullet"/>
        <w:spacing w:after="80" w:line="300" w:lineRule="auto"/>
        <w:ind w:left="540" w:hanging="271"/>
      </w:pPr>
      <w:r>
        <w:rPr>
          <w:rFonts w:ascii="Calibri" w:hAnsi="Calibri"/>
          <w:color w:val="222222"/>
          <w:sz w:val="22"/>
        </w:rPr>
        <w:t>Training, adoption, operating model and post-go-live support</w:t>
      </w:r>
    </w:p>
    <w:p>
      <w:pPr>
        <w:pStyle w:val="Heading2"/>
        <w:keepNext/>
      </w:pPr>
      <w:r>
        <w:rPr>
          <w:rFonts w:ascii="Calibri" w:hAnsi="Calibri"/>
          <w:b/>
          <w:color w:val="2E74B5"/>
          <w:sz w:val="26"/>
        </w:rPr>
        <w:t>Relevant credentials</w:t>
      </w:r>
    </w:p>
    <w:p>
      <w:pPr>
        <w:spacing w:after="120" w:line="300" w:lineRule="auto"/>
      </w:pPr>
      <w:r>
        <w:rPr>
          <w:rFonts w:ascii="Calibri" w:hAnsi="Calibri"/>
          <w:color w:val="222222"/>
          <w:sz w:val="22"/>
        </w:rPr>
        <w:t>Certifications are useful evidence of foundational knowledge, but they do not replace implementation experience. Relevant credentials include:</w:t>
      </w:r>
    </w:p>
    <w:p>
      <w:pPr>
        <w:pStyle w:val="ListBullet"/>
        <w:spacing w:after="80" w:line="300" w:lineRule="auto"/>
        <w:ind w:left="540" w:hanging="271"/>
      </w:pPr>
      <w:r>
        <w:rPr>
          <w:rFonts w:ascii="Calibri" w:hAnsi="Calibri"/>
          <w:color w:val="222222"/>
          <w:sz w:val="22"/>
        </w:rPr>
        <w:t>Salesforce Administrator and Platform App Builder</w:t>
      </w:r>
    </w:p>
    <w:p>
      <w:pPr>
        <w:pStyle w:val="ListBullet"/>
        <w:spacing w:after="80" w:line="300" w:lineRule="auto"/>
        <w:ind w:left="540" w:hanging="271"/>
      </w:pPr>
      <w:r>
        <w:rPr>
          <w:rFonts w:ascii="Calibri" w:hAnsi="Calibri"/>
          <w:color w:val="222222"/>
          <w:sz w:val="22"/>
        </w:rPr>
        <w:t>Sales Cloud Consultant and Service Cloud Consultant</w:t>
      </w:r>
    </w:p>
    <w:p>
      <w:pPr>
        <w:pStyle w:val="ListBullet"/>
        <w:spacing w:after="80" w:line="300" w:lineRule="auto"/>
        <w:ind w:left="540" w:hanging="271"/>
      </w:pPr>
      <w:r>
        <w:rPr>
          <w:rFonts w:ascii="Calibri" w:hAnsi="Calibri"/>
          <w:color w:val="222222"/>
          <w:sz w:val="22"/>
        </w:rPr>
        <w:t>Revenue Cloud Consultant</w:t>
      </w:r>
    </w:p>
    <w:p>
      <w:pPr>
        <w:pStyle w:val="ListBullet"/>
        <w:spacing w:after="80" w:line="300" w:lineRule="auto"/>
        <w:ind w:left="540" w:hanging="271"/>
      </w:pPr>
      <w:r>
        <w:rPr>
          <w:rFonts w:ascii="Calibri" w:hAnsi="Calibri"/>
          <w:color w:val="222222"/>
          <w:sz w:val="22"/>
        </w:rPr>
        <w:t>Platform Developer I</w:t>
      </w:r>
    </w:p>
    <w:p>
      <w:pPr>
        <w:pStyle w:val="ListBullet"/>
        <w:spacing w:after="80" w:line="300" w:lineRule="auto"/>
        <w:ind w:left="540" w:hanging="271"/>
      </w:pPr>
      <w:r>
        <w:rPr>
          <w:rFonts w:ascii="Calibri" w:hAnsi="Calibri"/>
          <w:color w:val="222222"/>
          <w:sz w:val="22"/>
        </w:rPr>
        <w:t>Data Architect, Sharing and Visibility Architect, and Integration Architect</w:t>
      </w:r>
    </w:p>
    <w:p>
      <w:pPr>
        <w:pStyle w:val="ListBullet"/>
        <w:spacing w:after="80" w:line="300" w:lineRule="auto"/>
        <w:ind w:left="540" w:hanging="271"/>
      </w:pPr>
      <w:r>
        <w:rPr>
          <w:rFonts w:ascii="Calibri" w:hAnsi="Calibri"/>
          <w:color w:val="222222"/>
          <w:sz w:val="22"/>
        </w:rPr>
        <w:t>Application Architect or System Architect for senior design leadership</w:t>
      </w:r>
    </w:p>
    <w:p>
      <w:pPr>
        <w:pStyle w:val="Heading1"/>
        <w:keepNext/>
      </w:pPr>
      <w:r>
        <w:rPr>
          <w:rFonts w:ascii="Calibri" w:hAnsi="Calibri"/>
          <w:b/>
          <w:color w:val="2E74B5"/>
          <w:sz w:val="32"/>
        </w:rPr>
        <w:t>5. Platform, environment and delivery resources</w:t>
      </w:r>
    </w:p>
    <w:p>
      <w:pPr>
        <w:spacing w:after="120" w:line="300" w:lineRule="auto"/>
      </w:pPr>
      <w:r>
        <w:rPr>
          <w:rFonts w:ascii="Calibri" w:hAnsi="Calibri"/>
          <w:color w:val="222222"/>
          <w:sz w:val="22"/>
        </w:rPr>
        <w:t>Establish the delivery lifecycle before feature build begins. Production should never be the primary development, integration-test or training environment.</w:t>
      </w:r>
    </w:p>
    <w:p>
      <w:pPr>
        <w:pStyle w:val="ListBullet"/>
        <w:spacing w:after="80" w:line="300" w:lineRule="auto"/>
        <w:ind w:left="540" w:hanging="271"/>
      </w:pPr>
      <w:r>
        <w:rPr>
          <w:rFonts w:ascii="Calibri" w:hAnsi="Calibri"/>
          <w:color w:val="222222"/>
          <w:sz w:val="22"/>
        </w:rPr>
        <w:t>Production org</w:t>
      </w:r>
    </w:p>
    <w:p>
      <w:pPr>
        <w:pStyle w:val="ListBullet"/>
        <w:spacing w:after="80" w:line="300" w:lineRule="auto"/>
        <w:ind w:left="540" w:hanging="271"/>
      </w:pPr>
      <w:r>
        <w:rPr>
          <w:rFonts w:ascii="Calibri" w:hAnsi="Calibri"/>
          <w:color w:val="222222"/>
          <w:sz w:val="22"/>
        </w:rPr>
        <w:t>Individual Developer sandboxes and/or scratch orgs</w:t>
      </w:r>
    </w:p>
    <w:p>
      <w:pPr>
        <w:pStyle w:val="ListBullet"/>
        <w:spacing w:after="80" w:line="300" w:lineRule="auto"/>
        <w:ind w:left="540" w:hanging="271"/>
      </w:pPr>
      <w:r>
        <w:rPr>
          <w:rFonts w:ascii="Calibri" w:hAnsi="Calibri"/>
          <w:color w:val="222222"/>
          <w:sz w:val="22"/>
        </w:rPr>
        <w:t>Shared integration environment</w:t>
      </w:r>
    </w:p>
    <w:p>
      <w:pPr>
        <w:pStyle w:val="ListBullet"/>
        <w:spacing w:after="80" w:line="300" w:lineRule="auto"/>
        <w:ind w:left="540" w:hanging="271"/>
      </w:pPr>
      <w:r>
        <w:rPr>
          <w:rFonts w:ascii="Calibri" w:hAnsi="Calibri"/>
          <w:color w:val="222222"/>
          <w:sz w:val="22"/>
        </w:rPr>
        <w:t>QA and system-test environment</w:t>
      </w:r>
    </w:p>
    <w:p>
      <w:pPr>
        <w:pStyle w:val="ListBullet"/>
        <w:spacing w:after="80" w:line="300" w:lineRule="auto"/>
        <w:ind w:left="540" w:hanging="271"/>
      </w:pPr>
      <w:r>
        <w:rPr>
          <w:rFonts w:ascii="Calibri" w:hAnsi="Calibri"/>
          <w:color w:val="222222"/>
          <w:sz w:val="22"/>
        </w:rPr>
        <w:t>User acceptance testing environment</w:t>
      </w:r>
    </w:p>
    <w:p>
      <w:pPr>
        <w:pStyle w:val="ListBullet"/>
        <w:spacing w:after="80" w:line="300" w:lineRule="auto"/>
        <w:ind w:left="540" w:hanging="271"/>
      </w:pPr>
      <w:r>
        <w:rPr>
          <w:rFonts w:ascii="Calibri" w:hAnsi="Calibri"/>
          <w:color w:val="222222"/>
          <w:sz w:val="22"/>
        </w:rPr>
        <w:t>Training environment</w:t>
      </w:r>
    </w:p>
    <w:p>
      <w:pPr>
        <w:pStyle w:val="ListBullet"/>
        <w:spacing w:after="80" w:line="300" w:lineRule="auto"/>
        <w:ind w:left="540" w:hanging="271"/>
      </w:pPr>
      <w:r>
        <w:rPr>
          <w:rFonts w:ascii="Calibri" w:hAnsi="Calibri"/>
          <w:color w:val="222222"/>
          <w:sz w:val="22"/>
        </w:rPr>
        <w:t>Partial Copy or Full Copy sandbox for realistic end-to-end testing</w:t>
      </w:r>
    </w:p>
    <w:p>
      <w:pPr>
        <w:pStyle w:val="ListBullet"/>
        <w:spacing w:after="80" w:line="300" w:lineRule="auto"/>
        <w:ind w:left="540" w:hanging="271"/>
      </w:pPr>
      <w:r>
        <w:rPr>
          <w:rFonts w:ascii="Calibri" w:hAnsi="Calibri"/>
          <w:color w:val="222222"/>
          <w:sz w:val="22"/>
        </w:rPr>
        <w:t>Git repository as the metadata source of truth</w:t>
      </w:r>
    </w:p>
    <w:p>
      <w:pPr>
        <w:pStyle w:val="ListBullet"/>
        <w:spacing w:after="80" w:line="300" w:lineRule="auto"/>
        <w:ind w:left="540" w:hanging="271"/>
      </w:pPr>
      <w:r>
        <w:rPr>
          <w:rFonts w:ascii="Calibri" w:hAnsi="Calibri"/>
          <w:color w:val="222222"/>
          <w:sz w:val="22"/>
        </w:rPr>
        <w:t>Salesforce CLI and automated CI/CD pipeline</w:t>
      </w:r>
    </w:p>
    <w:p>
      <w:pPr>
        <w:pStyle w:val="ListBullet"/>
        <w:spacing w:after="80" w:line="300" w:lineRule="auto"/>
        <w:ind w:left="540" w:hanging="271"/>
      </w:pPr>
      <w:r>
        <w:rPr>
          <w:rFonts w:ascii="Calibri" w:hAnsi="Calibri"/>
          <w:color w:val="222222"/>
          <w:sz w:val="22"/>
        </w:rPr>
        <w:t>Automated test framework and regression suite</w:t>
      </w:r>
    </w:p>
    <w:p>
      <w:pPr>
        <w:pStyle w:val="ListBullet"/>
        <w:spacing w:after="80" w:line="300" w:lineRule="auto"/>
        <w:ind w:left="540" w:hanging="271"/>
      </w:pPr>
      <w:r>
        <w:rPr>
          <w:rFonts w:ascii="Calibri" w:hAnsi="Calibri"/>
          <w:color w:val="222222"/>
          <w:sz w:val="22"/>
        </w:rPr>
        <w:t>Test-data generation, masking and refresh procedures</w:t>
      </w:r>
    </w:p>
    <w:p>
      <w:pPr>
        <w:pStyle w:val="ListBullet"/>
        <w:spacing w:after="80" w:line="300" w:lineRule="auto"/>
        <w:ind w:left="540" w:hanging="271"/>
      </w:pPr>
      <w:r>
        <w:rPr>
          <w:rFonts w:ascii="Calibri" w:hAnsi="Calibri"/>
          <w:color w:val="222222"/>
          <w:sz w:val="22"/>
        </w:rPr>
        <w:t>Architecture, requirements, decision and operating-model repository</w:t>
      </w:r>
    </w:p>
    <w:p>
      <w:pPr>
        <w:pStyle w:val="ListBullet"/>
        <w:spacing w:after="80" w:line="300" w:lineRule="auto"/>
        <w:ind w:left="540" w:hanging="271"/>
      </w:pPr>
      <w:r>
        <w:rPr>
          <w:rFonts w:ascii="Calibri" w:hAnsi="Calibri"/>
          <w:color w:val="222222"/>
          <w:sz w:val="22"/>
        </w:rPr>
        <w:t>Release calendar, change control and incident-management process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after="0" w:line="276" w:lineRule="auto"/>
            </w:pPr>
            <w:r>
              <w:rPr>
                <w:rFonts w:ascii="Calibri" w:hAnsi="Calibri"/>
                <w:b/>
                <w:color w:val="2E74B5"/>
                <w:sz w:val="22"/>
              </w:rPr>
              <w:t xml:space="preserve">Environment sizing  </w:t>
            </w:r>
            <w:r>
              <w:rPr>
                <w:rFonts w:ascii="Calibri" w:hAnsi="Calibri"/>
                <w:color w:val="222222"/>
                <w:sz w:val="22"/>
              </w:rPr>
              <w:t>Sandbox types and quantities depend on the Salesforce edition and purchased entitlements. Include refresh cadence, data masking, release-preview strategy and integration endpoint management in the environment plan.</w:t>
            </w:r>
          </w:p>
        </w:tc>
      </w:tr>
    </w:tbl>
    <w:p>
      <w:pPr>
        <w:spacing w:after="20"/>
      </w:pPr>
    </w:p>
    <w:p>
      <w:pPr>
        <w:pStyle w:val="Heading1"/>
        <w:keepNext/>
      </w:pPr>
      <w:r>
        <w:rPr>
          <w:rFonts w:ascii="Calibri" w:hAnsi="Calibri"/>
          <w:b/>
          <w:color w:val="2E74B5"/>
          <w:sz w:val="32"/>
        </w:rPr>
        <w:t>6. Licensing and connected-system checklist</w:t>
      </w:r>
    </w:p>
    <w:p>
      <w:pPr>
        <w:pStyle w:val="Heading2"/>
        <w:keepNext/>
      </w:pPr>
      <w:r>
        <w:rPr>
          <w:rFonts w:ascii="Calibri" w:hAnsi="Calibri"/>
          <w:b/>
          <w:color w:val="2E74B5"/>
          <w:sz w:val="26"/>
        </w:rPr>
        <w:t>Licensing decisions</w:t>
      </w:r>
    </w:p>
    <w:p>
      <w:pPr>
        <w:pStyle w:val="ListBullet"/>
        <w:spacing w:after="80" w:line="300" w:lineRule="auto"/>
        <w:ind w:left="540" w:hanging="271"/>
      </w:pPr>
      <w:r>
        <w:rPr>
          <w:rFonts w:ascii="Calibri" w:hAnsi="Calibri"/>
          <w:color w:val="222222"/>
          <w:sz w:val="22"/>
        </w:rPr>
        <w:t>Salesforce edition and geographic / Hyperforce requirements</w:t>
      </w:r>
    </w:p>
    <w:p>
      <w:pPr>
        <w:pStyle w:val="ListBullet"/>
        <w:spacing w:after="80" w:line="300" w:lineRule="auto"/>
        <w:ind w:left="540" w:hanging="271"/>
      </w:pPr>
      <w:r>
        <w:rPr>
          <w:rFonts w:ascii="Calibri" w:hAnsi="Calibri"/>
          <w:color w:val="222222"/>
          <w:sz w:val="22"/>
        </w:rPr>
        <w:t>Sales Cloud, Service Cloud and Revenue Cloud user counts and personas</w:t>
      </w:r>
    </w:p>
    <w:p>
      <w:pPr>
        <w:pStyle w:val="ListBullet"/>
        <w:spacing w:after="80" w:line="300" w:lineRule="auto"/>
        <w:ind w:left="540" w:hanging="271"/>
      </w:pPr>
      <w:r>
        <w:rPr>
          <w:rFonts w:ascii="Calibri" w:hAnsi="Calibri"/>
          <w:color w:val="222222"/>
          <w:sz w:val="22"/>
        </w:rPr>
        <w:t>Revenue Cloud Advanced and/or Billing functional entitlements</w:t>
      </w:r>
    </w:p>
    <w:p>
      <w:pPr>
        <w:pStyle w:val="ListBullet"/>
        <w:spacing w:after="80" w:line="300" w:lineRule="auto"/>
        <w:ind w:left="540" w:hanging="271"/>
      </w:pPr>
      <w:r>
        <w:rPr>
          <w:rFonts w:ascii="Calibri" w:hAnsi="Calibri"/>
          <w:color w:val="222222"/>
          <w:sz w:val="22"/>
        </w:rPr>
        <w:t>Digital Engagement, Voice, telephony or contact-center capabilities</w:t>
      </w:r>
    </w:p>
    <w:p>
      <w:pPr>
        <w:pStyle w:val="ListBullet"/>
        <w:spacing w:after="80" w:line="300" w:lineRule="auto"/>
        <w:ind w:left="540" w:hanging="271"/>
      </w:pPr>
      <w:r>
        <w:rPr>
          <w:rFonts w:ascii="Calibri" w:hAnsi="Calibri"/>
          <w:color w:val="222222"/>
          <w:sz w:val="22"/>
        </w:rPr>
        <w:t>Experience Cloud external-user licensing</w:t>
      </w:r>
    </w:p>
    <w:p>
      <w:pPr>
        <w:pStyle w:val="ListBullet"/>
        <w:spacing w:after="80" w:line="300" w:lineRule="auto"/>
        <w:ind w:left="540" w:hanging="271"/>
      </w:pPr>
      <w:r>
        <w:rPr>
          <w:rFonts w:ascii="Calibri" w:hAnsi="Calibri"/>
          <w:color w:val="222222"/>
          <w:sz w:val="22"/>
        </w:rPr>
        <w:t>Knowledge, Field Service and analytics requirements</w:t>
      </w:r>
    </w:p>
    <w:p>
      <w:pPr>
        <w:pStyle w:val="ListBullet"/>
        <w:spacing w:after="80" w:line="300" w:lineRule="auto"/>
        <w:ind w:left="540" w:hanging="271"/>
      </w:pPr>
      <w:r>
        <w:rPr>
          <w:rFonts w:ascii="Calibri" w:hAnsi="Calibri"/>
          <w:color w:val="222222"/>
          <w:sz w:val="22"/>
        </w:rPr>
        <w:t>Shield encryption, event monitoring, audit and compliance requirements</w:t>
      </w:r>
    </w:p>
    <w:p>
      <w:pPr>
        <w:pStyle w:val="ListBullet"/>
        <w:spacing w:after="80" w:line="300" w:lineRule="auto"/>
        <w:ind w:left="540" w:hanging="271"/>
      </w:pPr>
      <w:r>
        <w:rPr>
          <w:rFonts w:ascii="Calibri" w:hAnsi="Calibri"/>
          <w:color w:val="222222"/>
          <w:sz w:val="22"/>
        </w:rPr>
        <w:t>Sandbox types, storage, API capacity and integration-user licences</w:t>
      </w:r>
    </w:p>
    <w:p>
      <w:pPr>
        <w:pStyle w:val="Heading2"/>
        <w:keepNext/>
      </w:pPr>
      <w:r>
        <w:rPr>
          <w:rFonts w:ascii="Calibri" w:hAnsi="Calibri"/>
          <w:b/>
          <w:color w:val="2E74B5"/>
          <w:sz w:val="26"/>
        </w:rPr>
        <w:t>Likely integrations</w:t>
      </w:r>
    </w:p>
    <w:p>
      <w:pPr>
        <w:pStyle w:val="ListBullet"/>
        <w:spacing w:after="80" w:line="300" w:lineRule="auto"/>
        <w:ind w:left="540" w:hanging="271"/>
      </w:pPr>
      <w:r>
        <w:rPr>
          <w:rFonts w:ascii="Calibri" w:hAnsi="Calibri"/>
          <w:color w:val="222222"/>
          <w:sz w:val="22"/>
        </w:rPr>
        <w:t>ERP, general ledger and accounts receivable</w:t>
      </w:r>
    </w:p>
    <w:p>
      <w:pPr>
        <w:pStyle w:val="ListBullet"/>
        <w:spacing w:after="80" w:line="300" w:lineRule="auto"/>
        <w:ind w:left="540" w:hanging="271"/>
      </w:pPr>
      <w:r>
        <w:rPr>
          <w:rFonts w:ascii="Calibri" w:hAnsi="Calibri"/>
          <w:color w:val="222222"/>
          <w:sz w:val="22"/>
        </w:rPr>
        <w:t>Master data management and product lifecycle management</w:t>
      </w:r>
    </w:p>
    <w:p>
      <w:pPr>
        <w:pStyle w:val="ListBullet"/>
        <w:spacing w:after="80" w:line="300" w:lineRule="auto"/>
        <w:ind w:left="540" w:hanging="271"/>
      </w:pPr>
      <w:r>
        <w:rPr>
          <w:rFonts w:ascii="Calibri" w:hAnsi="Calibri"/>
          <w:color w:val="222222"/>
          <w:sz w:val="22"/>
        </w:rPr>
        <w:t>Identity provider and user provisioning</w:t>
      </w:r>
    </w:p>
    <w:p>
      <w:pPr>
        <w:pStyle w:val="ListBullet"/>
        <w:spacing w:after="80" w:line="300" w:lineRule="auto"/>
        <w:ind w:left="540" w:hanging="271"/>
      </w:pPr>
      <w:r>
        <w:rPr>
          <w:rFonts w:ascii="Calibri" w:hAnsi="Calibri"/>
          <w:color w:val="222222"/>
          <w:sz w:val="22"/>
        </w:rPr>
        <w:t>Marketing automation and customer data platforms</w:t>
      </w:r>
    </w:p>
    <w:p>
      <w:pPr>
        <w:pStyle w:val="ListBullet"/>
        <w:spacing w:after="80" w:line="300" w:lineRule="auto"/>
        <w:ind w:left="540" w:hanging="271"/>
      </w:pPr>
      <w:r>
        <w:rPr>
          <w:rFonts w:ascii="Calibri" w:hAnsi="Calibri"/>
          <w:color w:val="222222"/>
          <w:sz w:val="22"/>
        </w:rPr>
        <w:t>Contact-center and telephony platforms</w:t>
      </w:r>
    </w:p>
    <w:p>
      <w:pPr>
        <w:pStyle w:val="ListBullet"/>
        <w:spacing w:after="80" w:line="300" w:lineRule="auto"/>
        <w:ind w:left="540" w:hanging="271"/>
      </w:pPr>
      <w:r>
        <w:rPr>
          <w:rFonts w:ascii="Calibri" w:hAnsi="Calibri"/>
          <w:color w:val="222222"/>
          <w:sz w:val="22"/>
        </w:rPr>
        <w:t>E-commerce and partner channels</w:t>
      </w:r>
    </w:p>
    <w:p>
      <w:pPr>
        <w:pStyle w:val="ListBullet"/>
        <w:spacing w:after="80" w:line="300" w:lineRule="auto"/>
        <w:ind w:left="540" w:hanging="271"/>
      </w:pPr>
      <w:r>
        <w:rPr>
          <w:rFonts w:ascii="Calibri" w:hAnsi="Calibri"/>
          <w:color w:val="222222"/>
          <w:sz w:val="22"/>
        </w:rPr>
        <w:t>Tax engines, payment gateways and electronic signature</w:t>
      </w:r>
    </w:p>
    <w:p>
      <w:pPr>
        <w:pStyle w:val="ListBullet"/>
        <w:spacing w:after="80" w:line="300" w:lineRule="auto"/>
        <w:ind w:left="540" w:hanging="271"/>
      </w:pPr>
      <w:r>
        <w:rPr>
          <w:rFonts w:ascii="Calibri" w:hAnsi="Calibri"/>
          <w:color w:val="222222"/>
          <w:sz w:val="22"/>
        </w:rPr>
        <w:t>Contract lifecycle management</w:t>
      </w:r>
    </w:p>
    <w:p>
      <w:pPr>
        <w:pStyle w:val="ListBullet"/>
        <w:spacing w:after="80" w:line="300" w:lineRule="auto"/>
        <w:ind w:left="540" w:hanging="271"/>
      </w:pPr>
      <w:r>
        <w:rPr>
          <w:rFonts w:ascii="Calibri" w:hAnsi="Calibri"/>
          <w:color w:val="222222"/>
          <w:sz w:val="22"/>
        </w:rPr>
        <w:t>Data warehouse, lakehouse and enterprise reporting</w:t>
      </w:r>
    </w:p>
    <w:p>
      <w:pPr>
        <w:pStyle w:val="Heading1"/>
        <w:keepNext/>
      </w:pPr>
      <w:r>
        <w:rPr>
          <w:rFonts w:ascii="Calibri" w:hAnsi="Calibri"/>
          <w:b/>
          <w:color w:val="2E74B5"/>
          <w:sz w:val="32"/>
        </w:rPr>
        <w:t>7. Essential design deliverables</w:t>
      </w:r>
    </w:p>
    <w:p>
      <w:pPr>
        <w:pStyle w:val="ListBullet"/>
        <w:spacing w:after="80" w:line="300" w:lineRule="auto"/>
        <w:ind w:left="540" w:hanging="271"/>
      </w:pPr>
      <w:r>
        <w:rPr>
          <w:rFonts w:ascii="Calibri" w:hAnsi="Calibri"/>
          <w:color w:val="222222"/>
          <w:sz w:val="22"/>
        </w:rPr>
        <w:t>Business capability map and agreed scope boundaries</w:t>
      </w:r>
    </w:p>
    <w:p>
      <w:pPr>
        <w:pStyle w:val="ListBullet"/>
        <w:spacing w:after="80" w:line="300" w:lineRule="auto"/>
        <w:ind w:left="540" w:hanging="271"/>
      </w:pPr>
      <w:r>
        <w:rPr>
          <w:rFonts w:ascii="Calibri" w:hAnsi="Calibri"/>
          <w:color w:val="222222"/>
          <w:sz w:val="22"/>
        </w:rPr>
        <w:t>Current-state and target-state process maps</w:t>
      </w:r>
    </w:p>
    <w:p>
      <w:pPr>
        <w:pStyle w:val="ListBullet"/>
        <w:spacing w:after="80" w:line="300" w:lineRule="auto"/>
        <w:ind w:left="540" w:hanging="271"/>
      </w:pPr>
      <w:r>
        <w:rPr>
          <w:rFonts w:ascii="Calibri" w:hAnsi="Calibri"/>
          <w:color w:val="222222"/>
          <w:sz w:val="22"/>
        </w:rPr>
        <w:t>Phased roadmap, dependencies and measurable outcomes</w:t>
      </w:r>
    </w:p>
    <w:p>
      <w:pPr>
        <w:pStyle w:val="ListBullet"/>
        <w:spacing w:after="80" w:line="300" w:lineRule="auto"/>
        <w:ind w:left="540" w:hanging="271"/>
      </w:pPr>
      <w:r>
        <w:rPr>
          <w:rFonts w:ascii="Calibri" w:hAnsi="Calibri"/>
          <w:color w:val="222222"/>
          <w:sz w:val="22"/>
        </w:rPr>
        <w:t>System context, integration and data-flow diagrams</w:t>
      </w:r>
    </w:p>
    <w:p>
      <w:pPr>
        <w:pStyle w:val="ListBullet"/>
        <w:spacing w:after="80" w:line="300" w:lineRule="auto"/>
        <w:ind w:left="540" w:hanging="271"/>
      </w:pPr>
      <w:r>
        <w:rPr>
          <w:rFonts w:ascii="Calibri" w:hAnsi="Calibri"/>
          <w:color w:val="222222"/>
          <w:sz w:val="22"/>
        </w:rPr>
        <w:t>Canonical customer, product, pricing, contract, order and asset models</w:t>
      </w:r>
    </w:p>
    <w:p>
      <w:pPr>
        <w:pStyle w:val="ListBullet"/>
        <w:spacing w:after="80" w:line="300" w:lineRule="auto"/>
        <w:ind w:left="540" w:hanging="271"/>
      </w:pPr>
      <w:r>
        <w:rPr>
          <w:rFonts w:ascii="Calibri" w:hAnsi="Calibri"/>
          <w:color w:val="222222"/>
          <w:sz w:val="22"/>
        </w:rPr>
        <w:t>Product catalog ownership and governance model</w:t>
      </w:r>
    </w:p>
    <w:p>
      <w:pPr>
        <w:pStyle w:val="ListBullet"/>
        <w:spacing w:after="80" w:line="300" w:lineRule="auto"/>
        <w:ind w:left="540" w:hanging="271"/>
      </w:pPr>
      <w:r>
        <w:rPr>
          <w:rFonts w:ascii="Calibri" w:hAnsi="Calibri"/>
          <w:color w:val="222222"/>
          <w:sz w:val="22"/>
        </w:rPr>
        <w:t>Pricing, discount and approval decision tables</w:t>
      </w:r>
    </w:p>
    <w:p>
      <w:pPr>
        <w:pStyle w:val="ListBullet"/>
        <w:spacing w:after="80" w:line="300" w:lineRule="auto"/>
        <w:ind w:left="540" w:hanging="271"/>
      </w:pPr>
      <w:r>
        <w:rPr>
          <w:rFonts w:ascii="Calibri" w:hAnsi="Calibri"/>
          <w:color w:val="222222"/>
          <w:sz w:val="22"/>
        </w:rPr>
        <w:t>Quote-to-order-to-invoice process and exception design</w:t>
      </w:r>
    </w:p>
    <w:p>
      <w:pPr>
        <w:pStyle w:val="ListBullet"/>
        <w:spacing w:after="80" w:line="300" w:lineRule="auto"/>
        <w:ind w:left="540" w:hanging="271"/>
      </w:pPr>
      <w:r>
        <w:rPr>
          <w:rFonts w:ascii="Calibri" w:hAnsi="Calibri"/>
          <w:color w:val="222222"/>
          <w:sz w:val="22"/>
        </w:rPr>
        <w:t>Security personas, access matrix and data-classification model</w:t>
      </w:r>
    </w:p>
    <w:p>
      <w:pPr>
        <w:pStyle w:val="ListBullet"/>
        <w:spacing w:after="80" w:line="300" w:lineRule="auto"/>
        <w:ind w:left="540" w:hanging="271"/>
      </w:pPr>
      <w:r>
        <w:rPr>
          <w:rFonts w:ascii="Calibri" w:hAnsi="Calibri"/>
          <w:color w:val="222222"/>
          <w:sz w:val="22"/>
        </w:rPr>
        <w:t>Data retention, archival, migration and reconciliation plans</w:t>
      </w:r>
    </w:p>
    <w:p>
      <w:pPr>
        <w:pStyle w:val="ListBullet"/>
        <w:spacing w:after="80" w:line="300" w:lineRule="auto"/>
        <w:ind w:left="540" w:hanging="271"/>
      </w:pPr>
      <w:r>
        <w:rPr>
          <w:rFonts w:ascii="Calibri" w:hAnsi="Calibri"/>
          <w:color w:val="222222"/>
          <w:sz w:val="22"/>
        </w:rPr>
        <w:t>Environment, source-control and deployment strategy</w:t>
      </w:r>
    </w:p>
    <w:p>
      <w:pPr>
        <w:pStyle w:val="ListBullet"/>
        <w:spacing w:after="80" w:line="300" w:lineRule="auto"/>
        <w:ind w:left="540" w:hanging="271"/>
      </w:pPr>
      <w:r>
        <w:rPr>
          <w:rFonts w:ascii="Calibri" w:hAnsi="Calibri"/>
          <w:color w:val="222222"/>
          <w:sz w:val="22"/>
        </w:rPr>
        <w:t>Test strategy, requirements traceability and acceptance criteria</w:t>
      </w:r>
    </w:p>
    <w:p>
      <w:pPr>
        <w:pStyle w:val="ListBullet"/>
        <w:spacing w:after="80" w:line="300" w:lineRule="auto"/>
        <w:ind w:left="540" w:hanging="271"/>
      </w:pPr>
      <w:r>
        <w:rPr>
          <w:rFonts w:ascii="Calibri" w:hAnsi="Calibri"/>
          <w:color w:val="222222"/>
          <w:sz w:val="22"/>
        </w:rPr>
        <w:t>Reporting and KPI catalogue</w:t>
      </w:r>
    </w:p>
    <w:p>
      <w:pPr>
        <w:pStyle w:val="ListBullet"/>
        <w:spacing w:after="80" w:line="300" w:lineRule="auto"/>
        <w:ind w:left="540" w:hanging="271"/>
      </w:pPr>
      <w:r>
        <w:rPr>
          <w:rFonts w:ascii="Calibri" w:hAnsi="Calibri"/>
          <w:color w:val="222222"/>
          <w:sz w:val="22"/>
        </w:rPr>
        <w:t>Support model, release governance and adoption plan</w:t>
      </w:r>
    </w:p>
    <w:p>
      <w:pPr>
        <w:pStyle w:val="Heading1"/>
        <w:keepNext/>
      </w:pPr>
      <w:r>
        <w:rPr>
          <w:rFonts w:ascii="Calibri" w:hAnsi="Calibri"/>
          <w:b/>
          <w:color w:val="2E74B5"/>
          <w:sz w:val="32"/>
        </w:rPr>
        <w:t>8. Recommended implementation sequence</w:t>
      </w:r>
    </w:p>
    <w:p>
      <w:pPr>
        <w:pStyle w:val="ListNumber"/>
        <w:spacing w:after="80" w:line="300" w:lineRule="auto"/>
        <w:ind w:left="540" w:hanging="271"/>
      </w:pPr>
      <w:r>
        <w:rPr>
          <w:rFonts w:ascii="Calibri" w:hAnsi="Calibri"/>
          <w:color w:val="222222"/>
          <w:sz w:val="22"/>
        </w:rPr>
        <w:t>Establish program governance, architecture principles, identity, security, DevOps and the shared customer/product data model.</w:t>
      </w:r>
    </w:p>
    <w:p>
      <w:pPr>
        <w:pStyle w:val="ListNumber"/>
        <w:spacing w:after="80" w:line="300" w:lineRule="auto"/>
        <w:ind w:left="540" w:hanging="271"/>
      </w:pPr>
      <w:r>
        <w:rPr>
          <w:rFonts w:ascii="Calibri" w:hAnsi="Calibri"/>
          <w:color w:val="222222"/>
          <w:sz w:val="22"/>
        </w:rPr>
        <w:t>Implement foundational Sales Cloud processes and reporting.</w:t>
      </w:r>
    </w:p>
    <w:p>
      <w:pPr>
        <w:pStyle w:val="ListNumber"/>
        <w:spacing w:after="80" w:line="300" w:lineRule="auto"/>
        <w:ind w:left="540" w:hanging="271"/>
      </w:pPr>
      <w:r>
        <w:rPr>
          <w:rFonts w:ascii="Calibri" w:hAnsi="Calibri"/>
          <w:color w:val="222222"/>
          <w:sz w:val="22"/>
        </w:rPr>
        <w:t>Implement Service Cloud and customer-service integrations.</w:t>
      </w:r>
    </w:p>
    <w:p>
      <w:pPr>
        <w:pStyle w:val="ListNumber"/>
        <w:spacing w:after="80" w:line="300" w:lineRule="auto"/>
        <w:ind w:left="540" w:hanging="271"/>
      </w:pPr>
      <w:r>
        <w:rPr>
          <w:rFonts w:ascii="Calibri" w:hAnsi="Calibri"/>
          <w:color w:val="222222"/>
          <w:sz w:val="22"/>
        </w:rPr>
        <w:t>Build the Revenue Cloud catalog, pricing, quoting and commercial approvals.</w:t>
      </w:r>
    </w:p>
    <w:p>
      <w:pPr>
        <w:pStyle w:val="ListNumber"/>
        <w:spacing w:after="80" w:line="300" w:lineRule="auto"/>
        <w:ind w:left="540" w:hanging="271"/>
      </w:pPr>
      <w:r>
        <w:rPr>
          <w:rFonts w:ascii="Calibri" w:hAnsi="Calibri"/>
          <w:color w:val="222222"/>
          <w:sz w:val="22"/>
        </w:rPr>
        <w:t>Add contracts, orders, assets, amendments, cancellations and renewals.</w:t>
      </w:r>
    </w:p>
    <w:p>
      <w:pPr>
        <w:pStyle w:val="ListNumber"/>
        <w:spacing w:after="80" w:line="300" w:lineRule="auto"/>
        <w:ind w:left="540" w:hanging="271"/>
      </w:pPr>
      <w:r>
        <w:rPr>
          <w:rFonts w:ascii="Calibri" w:hAnsi="Calibri"/>
          <w:color w:val="222222"/>
          <w:sz w:val="22"/>
        </w:rPr>
        <w:t>Add billing, tax, usage and ERP/finance integrations where in scope.</w:t>
      </w:r>
    </w:p>
    <w:p>
      <w:pPr>
        <w:pStyle w:val="ListNumber"/>
        <w:spacing w:after="80" w:line="300" w:lineRule="auto"/>
        <w:ind w:left="540" w:hanging="271"/>
      </w:pPr>
      <w:r>
        <w:rPr>
          <w:rFonts w:ascii="Calibri" w:hAnsi="Calibri"/>
          <w:color w:val="222222"/>
          <w:sz w:val="22"/>
        </w:rPr>
        <w:t>Complete end-to-end product-to-cash testing, data migration, training and phased rollout.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DF7F2"/>
          </w:tcPr>
          <w:p>
            <w:pPr>
              <w:spacing w:after="0" w:line="276" w:lineRule="auto"/>
            </w:pPr>
            <w:r>
              <w:rPr>
                <w:rFonts w:ascii="Calibri" w:hAnsi="Calibri"/>
                <w:b/>
                <w:color w:val="2F6B4F"/>
                <w:sz w:val="22"/>
              </w:rPr>
              <w:t xml:space="preserve">Architecture recommendation  </w:t>
            </w:r>
            <w:r>
              <w:rPr>
                <w:rFonts w:ascii="Calibri" w:hAnsi="Calibri"/>
                <w:color w:val="222222"/>
                <w:sz w:val="22"/>
              </w:rPr>
              <w:t>Design Revenue Cloud from the beginning even if it goes live later. Product, price book, account, contract, order and asset decisions made during the Sales Cloud phase can otherwise create expensive rework.</w:t>
            </w:r>
          </w:p>
        </w:tc>
      </w:tr>
    </w:tbl>
    <w:p>
      <w:pPr>
        <w:spacing w:after="20"/>
      </w:pPr>
    </w:p>
    <w:p>
      <w:pPr>
        <w:pStyle w:val="Heading1"/>
        <w:keepNext/>
      </w:pPr>
      <w:r>
        <w:rPr>
          <w:rFonts w:ascii="Calibri" w:hAnsi="Calibri"/>
          <w:b/>
          <w:color w:val="2E74B5"/>
          <w:sz w:val="32"/>
        </w:rPr>
        <w:t>9. Readiness gate before build</w:t>
      </w:r>
    </w:p>
    <w:p>
      <w:pPr>
        <w:spacing w:after="120" w:line="300" w:lineRule="auto"/>
      </w:pPr>
      <w:r>
        <w:rPr>
          <w:rFonts w:ascii="Calibri" w:hAnsi="Calibri"/>
          <w:color w:val="222222"/>
          <w:sz w:val="22"/>
        </w:rPr>
        <w:t>Configuration should begin only after the program can answer the following questions with named owners and documented decisions:</w:t>
      </w:r>
    </w:p>
    <w:p>
      <w:pPr>
        <w:pStyle w:val="ListBullet"/>
        <w:spacing w:after="80" w:line="300" w:lineRule="auto"/>
        <w:ind w:left="540" w:hanging="271"/>
      </w:pPr>
      <w:r>
        <w:rPr>
          <w:rFonts w:ascii="Calibri" w:hAnsi="Calibri"/>
          <w:color w:val="222222"/>
          <w:sz w:val="22"/>
        </w:rPr>
        <w:t>Which Revenue Cloud product generation and licence set is being implemented?</w:t>
      </w:r>
    </w:p>
    <w:p>
      <w:pPr>
        <w:pStyle w:val="ListBullet"/>
        <w:spacing w:after="80" w:line="300" w:lineRule="auto"/>
        <w:ind w:left="540" w:hanging="271"/>
      </w:pPr>
      <w:r>
        <w:rPr>
          <w:rFonts w:ascii="Calibri" w:hAnsi="Calibri"/>
          <w:color w:val="222222"/>
          <w:sz w:val="22"/>
        </w:rPr>
        <w:t>What is the authoritative source for customer, product, price, contract, order and billing data?</w:t>
      </w:r>
    </w:p>
    <w:p>
      <w:pPr>
        <w:pStyle w:val="ListBullet"/>
        <w:spacing w:after="80" w:line="300" w:lineRule="auto"/>
        <w:ind w:left="540" w:hanging="271"/>
      </w:pPr>
      <w:r>
        <w:rPr>
          <w:rFonts w:ascii="Calibri" w:hAnsi="Calibri"/>
          <w:color w:val="222222"/>
          <w:sz w:val="22"/>
        </w:rPr>
        <w:t>Which processes will remain in ERP, finance, tax, CLM, telephony or other platforms?</w:t>
      </w:r>
    </w:p>
    <w:p>
      <w:pPr>
        <w:pStyle w:val="ListBullet"/>
        <w:spacing w:after="80" w:line="300" w:lineRule="auto"/>
        <w:ind w:left="540" w:hanging="271"/>
      </w:pPr>
      <w:r>
        <w:rPr>
          <w:rFonts w:ascii="Calibri" w:hAnsi="Calibri"/>
          <w:color w:val="222222"/>
          <w:sz w:val="22"/>
        </w:rPr>
        <w:t>Which user and integration personas require access to which data and operations?</w:t>
      </w:r>
    </w:p>
    <w:p>
      <w:pPr>
        <w:pStyle w:val="ListBullet"/>
        <w:spacing w:after="80" w:line="300" w:lineRule="auto"/>
        <w:ind w:left="540" w:hanging="271"/>
      </w:pPr>
      <w:r>
        <w:rPr>
          <w:rFonts w:ascii="Calibri" w:hAnsi="Calibri"/>
          <w:color w:val="222222"/>
          <w:sz w:val="22"/>
        </w:rPr>
        <w:t>What are the migration volumes, quality issues, retention rules and reconciliation tolerances?</w:t>
      </w:r>
    </w:p>
    <w:p>
      <w:pPr>
        <w:pStyle w:val="ListBullet"/>
        <w:spacing w:after="80" w:line="300" w:lineRule="auto"/>
        <w:ind w:left="540" w:hanging="271"/>
      </w:pPr>
      <w:r>
        <w:rPr>
          <w:rFonts w:ascii="Calibri" w:hAnsi="Calibri"/>
          <w:color w:val="222222"/>
          <w:sz w:val="22"/>
        </w:rPr>
        <w:t>Which end-to-end scenarios constitute go-live acceptance?</w:t>
      </w:r>
    </w:p>
    <w:p>
      <w:pPr>
        <w:pStyle w:val="ListBullet"/>
        <w:spacing w:after="80" w:line="300" w:lineRule="auto"/>
        <w:ind w:left="540" w:hanging="271"/>
      </w:pPr>
      <w:r>
        <w:rPr>
          <w:rFonts w:ascii="Calibri" w:hAnsi="Calibri"/>
          <w:color w:val="222222"/>
          <w:sz w:val="22"/>
        </w:rPr>
        <w:t>Who owns the product catalog, pricing rules, service taxonomy and release process after go-live?</w:t>
      </w:r>
    </w:p>
    <w:p>
      <w:pPr>
        <w:pStyle w:val="Heading1"/>
        <w:keepNext/>
      </w:pPr>
      <w:r>
        <w:rPr>
          <w:rFonts w:ascii="Calibri" w:hAnsi="Calibri"/>
          <w:b/>
          <w:color w:val="2E74B5"/>
          <w:sz w:val="32"/>
        </w:rPr>
        <w:t>10. Salesforce reference resources</w:t>
      </w:r>
    </w:p>
    <w:p>
      <w:pPr>
        <w:pStyle w:val="ListBullet"/>
        <w:spacing w:after="80" w:line="300" w:lineRule="auto"/>
        <w:ind w:left="540" w:hanging="271"/>
      </w:pPr>
      <w:hyperlink r:id="rId11">
        <w:r>
          <w:rPr>
            <w:rFonts w:ascii="Calibri" w:hAnsi="Calibri"/>
            <w:color w:val="2E74B5"/>
            <w:u w:val="single"/>
          </w:rPr>
          <w:t>Prepare for a Revenue Management implementation</w:t>
        </w:r>
      </w:hyperlink>
    </w:p>
    <w:p>
      <w:pPr>
        <w:pStyle w:val="ListBullet"/>
        <w:spacing w:after="80" w:line="300" w:lineRule="auto"/>
        <w:ind w:left="540" w:hanging="271"/>
      </w:pPr>
      <w:hyperlink r:id="rId12">
        <w:r>
          <w:rPr>
            <w:rFonts w:ascii="Calibri" w:hAnsi="Calibri"/>
            <w:color w:val="2E74B5"/>
            <w:u w:val="single"/>
          </w:rPr>
          <w:t>Revenue Cloud / Revenue Management product documentation</w:t>
        </w:r>
      </w:hyperlink>
    </w:p>
    <w:p>
      <w:pPr>
        <w:pStyle w:val="ListBullet"/>
        <w:spacing w:after="80" w:line="300" w:lineRule="auto"/>
        <w:ind w:left="540" w:hanging="271"/>
      </w:pPr>
      <w:hyperlink r:id="rId13">
        <w:r>
          <w:rPr>
            <w:rFonts w:ascii="Calibri" w:hAnsi="Calibri"/>
            <w:color w:val="2E74B5"/>
            <w:u w:val="single"/>
          </w:rPr>
          <w:t>Salesforce Certified Revenue Cloud Consultant</w:t>
        </w:r>
      </w:hyperlink>
    </w:p>
    <w:p>
      <w:pPr>
        <w:pStyle w:val="ListBullet"/>
        <w:spacing w:after="80" w:line="300" w:lineRule="auto"/>
        <w:ind w:left="540" w:hanging="271"/>
      </w:pPr>
      <w:hyperlink r:id="rId14">
        <w:r>
          <w:rPr>
            <w:rFonts w:ascii="Calibri" w:hAnsi="Calibri"/>
            <w:color w:val="2E74B5"/>
            <w:u w:val="single"/>
          </w:rPr>
          <w:t>Salesforce sandbox types and management practices</w:t>
        </w:r>
      </w:hyperlink>
    </w:p>
    <w:p>
      <w:pPr>
        <w:pStyle w:val="ListBullet"/>
        <w:spacing w:after="80" w:line="300" w:lineRule="auto"/>
        <w:ind w:left="540" w:hanging="271"/>
      </w:pPr>
      <w:hyperlink r:id="rId15">
        <w:r>
          <w:rPr>
            <w:rFonts w:ascii="Calibri" w:hAnsi="Calibri"/>
            <w:color w:val="2E74B5"/>
            <w:u w:val="single"/>
          </w:rPr>
          <w:t>When to use a Salesforce sandbox</w:t>
        </w:r>
      </w:hyperlink>
    </w:p>
    <w:p>
      <w:pPr>
        <w:pStyle w:val="ListBullet"/>
        <w:spacing w:after="80" w:line="300" w:lineRule="auto"/>
        <w:ind w:left="540" w:hanging="271"/>
      </w:pPr>
      <w:hyperlink r:id="rId16">
        <w:r>
          <w:rPr>
            <w:rFonts w:ascii="Calibri" w:hAnsi="Calibri"/>
            <w:color w:val="2E74B5"/>
            <w:u w:val="single"/>
          </w:rPr>
          <w:t>Salesforce Well-Architected framework</w:t>
        </w:r>
      </w:hyperlink>
    </w:p>
    <w:p>
      <w:pPr>
        <w:pStyle w:val="ListBullet"/>
        <w:spacing w:after="80" w:line="300" w:lineRule="auto"/>
        <w:ind w:left="540" w:hanging="271"/>
      </w:pPr>
      <w:hyperlink r:id="rId17">
        <w:r>
          <w:rPr>
            <w:rFonts w:ascii="Calibri" w:hAnsi="Calibri"/>
            <w:color w:val="2E74B5"/>
            <w:u w:val="single"/>
          </w:rPr>
          <w:t>Salesforce Well-Architected security guidance</w:t>
        </w:r>
      </w:hyperlink>
    </w:p>
    <w:p>
      <w:pPr>
        <w:pStyle w:val="ListBullet"/>
        <w:spacing w:after="80" w:line="300" w:lineRule="auto"/>
        <w:ind w:left="540" w:hanging="271"/>
      </w:pPr>
      <w:hyperlink r:id="rId18">
        <w:r>
          <w:rPr>
            <w:rFonts w:ascii="Calibri" w:hAnsi="Calibri"/>
            <w:color w:val="2E74B5"/>
            <w:u w:val="single"/>
          </w:rPr>
          <w:t>Salesforce Well-Architected resilience guidance</w:t>
        </w:r>
      </w:hyperlink>
    </w:p>
    <w:p>
      <w:pPr>
        <w:spacing w:after="120" w:line="300" w:lineRule="auto"/>
      </w:pPr>
      <w:r>
        <w:rPr>
          <w:rFonts w:ascii="Calibri" w:hAnsi="Calibri"/>
          <w:color w:val="222222"/>
          <w:sz w:val="22"/>
        </w:rPr>
        <w:t>Licensing, naming and product capabilities change over time. Validate the final SKU, edition, regional, limit and coexistence assumptions with Salesforce and the implementation partner before contract signature and solution baseline approval.</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667085"/>
        <w:sz w:val="17"/>
      </w:rPr>
      <w:t xml:space="preserve">Salesforce Org Resources &amp; Skills Guide   |   </w:t>
    </w:r>
    <w:fldSimple w:instr="PAGE">
      <w:r>
        <w:rPr>
          <w:color w:val="667085"/>
          <w:sz w:val="17"/>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67085"/>
        <w:sz w:val="17"/>
      </w:rPr>
      <w:t>IMPLEMENTATION REFERENCE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ind w:left="540" w:hanging="271"/>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help.salesforce.com/s/articleView?id=ind.setup_revenue_cloud.htm&amp;language=en_US&amp;type=5" TargetMode="External"/><Relationship Id="rId12" Type="http://schemas.openxmlformats.org/officeDocument/2006/relationships/hyperlink" Target="https://help.salesforce.com/s/articleView?id=sf.revenue_lifecycle_management.htm&amp;language=en_US&amp;type=5" TargetMode="External"/><Relationship Id="rId13" Type="http://schemas.openxmlformats.org/officeDocument/2006/relationships/hyperlink" Target="https://trailhead.salesforce.com/en/credentials/revenuecloudconsultant" TargetMode="External"/><Relationship Id="rId14" Type="http://schemas.openxmlformats.org/officeDocument/2006/relationships/hyperlink" Target="https://help.salesforce.com/s/articleView?id=000212583&amp;language=en_US&amp;type=1" TargetMode="External"/><Relationship Id="rId15" Type="http://schemas.openxmlformats.org/officeDocument/2006/relationships/hyperlink" Target="https://help.salesforce.com/s/articleView?id=deploy_sandboxes_intro.htm&amp;language=en_US" TargetMode="External"/><Relationship Id="rId16" Type="http://schemas.openxmlformats.org/officeDocument/2006/relationships/hyperlink" Target="https://architect.salesforce.com/docs/architect/well-architected/guide/overview.html" TargetMode="External"/><Relationship Id="rId17" Type="http://schemas.openxmlformats.org/officeDocument/2006/relationships/hyperlink" Target="https://architect.salesforce.com/docs/architect/well-architected/guide/secure.html" TargetMode="External"/><Relationship Id="rId18" Type="http://schemas.openxmlformats.org/officeDocument/2006/relationships/hyperlink" Target="https://architect.salesforce.com/docs/architect/well-architected/guide/resilien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Resources &amp; Skills for a New Salesforce Org</dc:title>
  <dc:subject>Sales Cloud, Service Cloud and Revenue Cloud implementation planning</dc:subject>
  <dc:creator/>
  <cp:keywords>Salesforce, Sales Cloud, Service Cloud, Revenue Cloud, Revenue Management, implementation</cp:keywords>
  <dc:description>generated by python-docx</dc:description>
  <cp:lastModifiedBy/>
  <cp:revision>1</cp:revision>
  <dcterms:created xsi:type="dcterms:W3CDTF">2013-12-23T23:15:00Z</dcterms:created>
  <dcterms:modified xsi:type="dcterms:W3CDTF">2013-12-23T23:15:00Z</dcterms:modified>
  <cp:category/>
</cp:coreProperties>
</file>