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645A" w14:textId="77777777">
      <w:pPr>
        <w:pStyle w:val="Title"/>
      </w:pPr>
      <w:r>
        <w:t>Lower Basin Projected Water Use: 2026 - 2028</w:t>
      </w:r>
    </w:p>
    <w:p w14:paraId="0DB4B3FB" w14:textId="77777777">
      <w:pPr>
        <w:pStyle w:val="Subtitle"/>
      </w:pPr>
      <w:r>
        <w:t>July 2026: Most Probable 24-Month Study</w:t>
      </w:r>
    </w:p>
    <w:p w14:paraId="68694B25" w14:textId="77777777">
      <w:pPr>
        <w:pStyle w:val="Heading3"/>
      </w:pPr>
      <w:bookmarkStart w:id="0" w:name="section"/>
      <w:r>
        <w:t>2026</w:t>
      </w:r>
    </w:p>
    <w:p w14:paraId="2A74B5AA" w14:textId="77777777">
      <w:pPr>
        <w:pStyle w:val="FirstParagraph"/>
      </w:pPr>
      <w:r>
        <w:t xml:space="preserve">Total projected water use </w:t>
      </w:r>
      <w:r>
        <w:rPr>
          <w:b/>
          <w:bCs/>
        </w:rPr>
        <w:t>(7.514 maf)</w:t>
      </w:r>
      <w:r>
        <w:t xml:space="preserve"> – </w:t>
      </w:r>
      <w:r>
        <w:rPr>
          <w:i/>
        </w:rPr>
        <w:t>Based on Lake Mead Operating Condition of Level 1 Shortage and water savings contributions under the LB DCP Agreement and IBWC Minute 323.</w:t>
      </w:r>
    </w:p>
    <w:p w14:paraId="5A6A11D3" w14:textId="77777777">
      <w:pPr>
        <w:pStyle w:val="Heading4"/>
      </w:pPr>
      <w:bookmarkStart w:id="1" w:name="u.s.-contractors-6.210-maf"/>
      <w:r>
        <w:t>U.S. Contractors: 6.210 maf</w:t>
      </w:r>
    </w:p>
    <w:p w14:paraId="323AA80A" w14:textId="77777777">
      <w:pPr>
        <w:pStyle w:val="Heading5"/>
      </w:pPr>
      <w:bookmarkStart w:id="2" w:name="california-3.979-maf"/>
      <w:r>
        <w:t xml:space="preserve">California: </w:t>
      </w:r>
      <w:r>
        <w:rPr>
          <w:color w:val="0070C0"/>
        </w:rPr>
        <w:t>3.979 maf</w:t>
      </w:r>
    </w:p>
    <w:p w14:paraId="0F4D600D" w14:textId="77777777">
      <w:pPr>
        <w:numPr>
          <w:ilvl w:val="0"/>
          <w:numId w:val="3"/>
        </w:numPr>
      </w:pPr>
      <w:r>
        <w:t>MWD annual diversion of 915 kaf</w:t>
      </w:r>
    </w:p>
    <w:p w14:paraId="266A9317" w14:textId="77777777">
      <w:pPr>
        <w:pStyle w:val="Compact"/>
        <w:numPr>
          <w:ilvl w:val="1"/>
          <w:numId w:val="4"/>
        </w:numPr>
      </w:pPr>
      <w:r>
        <w:t>Projected diversion includes the delivery of 28.2 kaf of ICS</w:t>
      </w:r>
    </w:p>
    <w:p w14:paraId="61998DF4" w14:textId="77777777">
      <w:pPr>
        <w:numPr>
          <w:ilvl w:val="0"/>
          <w:numId w:val="3"/>
        </w:numPr>
      </w:pPr>
      <w:r>
        <w:t>Total California System Conservation of 448.7 kaf</w:t>
      </w:r>
    </w:p>
    <w:p w14:paraId="5AE7B71C" w14:textId="77777777">
      <w:pPr>
        <w:pStyle w:val="Compact"/>
        <w:numPr>
          <w:ilvl w:val="1"/>
          <w:numId w:val="5"/>
        </w:numPr>
      </w:pPr>
      <w:r>
        <w:t>CVWD system conservation of 41.5 kaf</w:t>
      </w:r>
    </w:p>
    <w:p w14:paraId="0668957A" w14:textId="77777777">
      <w:pPr>
        <w:pStyle w:val="Compact"/>
        <w:numPr>
          <w:ilvl w:val="1"/>
          <w:numId w:val="5"/>
        </w:numPr>
      </w:pPr>
      <w:r>
        <w:t>IID system conservation of 265 kaf</w:t>
      </w:r>
    </w:p>
    <w:p w14:paraId="753B16CD" w14:textId="77777777">
      <w:pPr>
        <w:pStyle w:val="Compact"/>
        <w:numPr>
          <w:ilvl w:val="1"/>
          <w:numId w:val="5"/>
        </w:numPr>
      </w:pPr>
      <w:r>
        <w:t>Bard system conservation of 9.9 kaf</w:t>
      </w:r>
    </w:p>
    <w:p w14:paraId="76E69A20" w14:textId="77777777">
      <w:pPr>
        <w:pStyle w:val="Compact"/>
        <w:numPr>
          <w:ilvl w:val="1"/>
          <w:numId w:val="5"/>
        </w:numPr>
      </w:pPr>
      <w:r>
        <w:t>Quechan system conservation of 13 kaf</w:t>
      </w:r>
    </w:p>
    <w:p w14:paraId="07B3ADF2" w14:textId="77777777">
      <w:pPr>
        <w:pStyle w:val="Compact"/>
        <w:numPr>
          <w:ilvl w:val="1"/>
          <w:numId w:val="5"/>
        </w:numPr>
      </w:pPr>
      <w:r>
        <w:t>PVID system conservation of 119.3 kaf</w:t>
      </w:r>
    </w:p>
    <w:p w14:paraId="1324DB2F" w14:textId="77777777">
      <w:pPr>
        <w:numPr>
          <w:ilvl w:val="0"/>
          <w:numId w:val="3"/>
        </w:numPr>
      </w:pPr>
      <w:r>
        <w:t>Needles PSCP volume of 145 af</w:t>
      </w:r>
    </w:p>
    <w:p w14:paraId="07F94B61" w14:textId="77777777">
      <w:pPr>
        <w:numPr>
          <w:ilvl w:val="0"/>
          <w:numId w:val="3"/>
        </w:numPr>
      </w:pPr>
      <w:r>
        <w:t>Binational ICS creation of 18.2 kaf by MWD and IID</w:t>
      </w:r>
    </w:p>
    <w:p w14:paraId="01CD8FA6" w14:textId="77777777">
      <w:pPr>
        <w:pStyle w:val="Heading5"/>
      </w:pPr>
      <w:bookmarkStart w:id="3" w:name="arizona-2.033-maf"/>
      <w:bookmarkEnd w:id="2"/>
      <w:r>
        <w:t xml:space="preserve">Arizona: </w:t>
      </w:r>
      <w:r>
        <w:rPr>
          <w:color w:val="0070C0"/>
        </w:rPr>
        <w:t>2.033 maf</w:t>
      </w:r>
    </w:p>
    <w:p w14:paraId="460C8AC0" w14:textId="77777777">
      <w:pPr>
        <w:numPr>
          <w:ilvl w:val="0"/>
          <w:numId w:val="6"/>
        </w:numPr>
      </w:pPr>
      <w:r>
        <w:t>CAP annual diversion of 950 kaf</w:t>
      </w:r>
    </w:p>
    <w:p w14:paraId="6A33D179" w14:textId="77777777">
      <w:pPr>
        <w:pStyle w:val="Compact"/>
        <w:numPr>
          <w:ilvl w:val="1"/>
          <w:numId w:val="7"/>
        </w:numPr>
      </w:pPr>
      <w:r>
        <w:t>Projected diversion includes a Shortage volume of 320 kaf, and DCP contribution of 192 kaf by CAWCD</w:t>
      </w:r>
    </w:p>
    <w:p w14:paraId="60F80B1D" w14:textId="77777777">
      <w:pPr>
        <w:numPr>
          <w:ilvl w:val="0"/>
          <w:numId w:val="6"/>
        </w:numPr>
      </w:pPr>
      <w:r>
        <w:t>DCP contribution will be made by creating 192 kaf of non-ICS water</w:t>
      </w:r>
    </w:p>
    <w:p w14:paraId="26CF308D" w14:textId="77777777">
      <w:pPr>
        <w:numPr>
          <w:ilvl w:val="0"/>
          <w:numId w:val="6"/>
        </w:numPr>
      </w:pPr>
      <w:r>
        <w:t>Total non-CAWCD System Conservation of 108.9 kaf</w:t>
      </w:r>
    </w:p>
    <w:p w14:paraId="758662F7" w14:textId="77777777">
      <w:pPr>
        <w:pStyle w:val="Compact"/>
        <w:numPr>
          <w:ilvl w:val="1"/>
          <w:numId w:val="8"/>
        </w:numPr>
      </w:pPr>
      <w:r>
        <w:t>FMYN : 13.9 kaf</w:t>
      </w:r>
    </w:p>
    <w:p w14:paraId="3F8FA474" w14:textId="77777777">
      <w:pPr>
        <w:pStyle w:val="Compact"/>
        <w:numPr>
          <w:ilvl w:val="1"/>
          <w:numId w:val="8"/>
        </w:numPr>
      </w:pPr>
      <w:r>
        <w:t>GRIC : 24.8 kaf</w:t>
      </w:r>
    </w:p>
    <w:p w14:paraId="04A4C066" w14:textId="77777777">
      <w:pPr>
        <w:pStyle w:val="Compact"/>
        <w:numPr>
          <w:ilvl w:val="1"/>
          <w:numId w:val="8"/>
        </w:numPr>
      </w:pPr>
      <w:r>
        <w:t>SCAT : 23.5 kaf</w:t>
      </w:r>
    </w:p>
    <w:p w14:paraId="3F75BCC1" w14:textId="77777777">
      <w:pPr>
        <w:pStyle w:val="Compact"/>
        <w:numPr>
          <w:ilvl w:val="1"/>
          <w:numId w:val="8"/>
        </w:numPr>
      </w:pPr>
      <w:proofErr w:type="spellStart"/>
      <w:r>
        <w:t>Gabrych</w:t>
      </w:r>
      <w:proofErr w:type="spellEnd"/>
      <w:r>
        <w:t xml:space="preserve"> : 3.2 kaf</w:t>
      </w:r>
    </w:p>
    <w:p w14:paraId="22D71EB1" w14:textId="77777777">
      <w:pPr>
        <w:pStyle w:val="Compact"/>
        <w:numPr>
          <w:ilvl w:val="1"/>
          <w:numId w:val="8"/>
        </w:numPr>
      </w:pPr>
      <w:r>
        <w:t>MVIDD : 14.2 kaf</w:t>
      </w:r>
    </w:p>
    <w:p w14:paraId="31C13954" w14:textId="77777777">
      <w:pPr>
        <w:pStyle w:val="Compact"/>
        <w:numPr>
          <w:ilvl w:val="1"/>
          <w:numId w:val="8"/>
        </w:numPr>
      </w:pPr>
      <w:r>
        <w:t>Cathcart : 61 af</w:t>
      </w:r>
    </w:p>
    <w:p w14:paraId="5CC11ADD" w14:textId="77777777">
      <w:pPr>
        <w:pStyle w:val="Compact"/>
        <w:numPr>
          <w:ilvl w:val="1"/>
          <w:numId w:val="8"/>
        </w:numPr>
      </w:pPr>
      <w:r>
        <w:t>YMIDD : 23.9 kaf</w:t>
      </w:r>
    </w:p>
    <w:p w14:paraId="773077D5" w14:textId="77777777">
      <w:pPr>
        <w:pStyle w:val="Compact"/>
        <w:numPr>
          <w:ilvl w:val="1"/>
          <w:numId w:val="8"/>
        </w:numPr>
      </w:pPr>
      <w:r>
        <w:t>CVIDD : 2.3 kaf</w:t>
      </w:r>
    </w:p>
    <w:p w14:paraId="197227A2" w14:textId="77777777">
      <w:pPr>
        <w:pStyle w:val="Compact"/>
        <w:numPr>
          <w:ilvl w:val="1"/>
          <w:numId w:val="8"/>
        </w:numPr>
      </w:pPr>
      <w:r>
        <w:t>Hopi : 3.1 kaf</w:t>
      </w:r>
    </w:p>
    <w:p w14:paraId="4B673211" w14:textId="77777777">
      <w:pPr>
        <w:numPr>
          <w:ilvl w:val="0"/>
          <w:numId w:val="6"/>
        </w:numPr>
      </w:pPr>
      <w:r>
        <w:t>Total CAWCD System Conservation of 98.8 kaf</w:t>
      </w:r>
    </w:p>
    <w:p w14:paraId="50F88334" w14:textId="77777777">
      <w:pPr>
        <w:pStyle w:val="Compact"/>
        <w:numPr>
          <w:ilvl w:val="1"/>
          <w:numId w:val="9"/>
        </w:numPr>
      </w:pPr>
      <w:r>
        <w:t>ASARCO : 21 kaf</w:t>
      </w:r>
    </w:p>
    <w:p w14:paraId="68CE313D" w14:textId="77777777">
      <w:pPr>
        <w:pStyle w:val="Compact"/>
        <w:numPr>
          <w:ilvl w:val="1"/>
          <w:numId w:val="9"/>
        </w:numPr>
      </w:pPr>
      <w:r>
        <w:t>Gilbert : 1.6 kaf</w:t>
      </w:r>
    </w:p>
    <w:p w14:paraId="4943D8B6" w14:textId="77777777">
      <w:pPr>
        <w:pStyle w:val="Compact"/>
        <w:numPr>
          <w:ilvl w:val="1"/>
          <w:numId w:val="9"/>
        </w:numPr>
      </w:pPr>
      <w:r>
        <w:t>Glendale : 7 kaf</w:t>
      </w:r>
    </w:p>
    <w:p w14:paraId="4ADD9901" w14:textId="77777777">
      <w:pPr>
        <w:pStyle w:val="Compact"/>
        <w:numPr>
          <w:ilvl w:val="1"/>
          <w:numId w:val="9"/>
        </w:numPr>
      </w:pPr>
      <w:r>
        <w:t>Metro Water District : 5 kaf</w:t>
      </w:r>
    </w:p>
    <w:p w14:paraId="3243A1DE" w14:textId="77777777">
      <w:pPr>
        <w:pStyle w:val="Compact"/>
        <w:numPr>
          <w:ilvl w:val="1"/>
          <w:numId w:val="9"/>
        </w:numPr>
      </w:pPr>
      <w:r>
        <w:t>Peoria : 5 kaf</w:t>
      </w:r>
    </w:p>
    <w:p w14:paraId="67A587B4" w14:textId="77777777">
      <w:pPr>
        <w:pStyle w:val="Compact"/>
        <w:numPr>
          <w:ilvl w:val="1"/>
          <w:numId w:val="9"/>
        </w:numPr>
      </w:pPr>
      <w:r>
        <w:t>Scottsdale : 4 kaf</w:t>
      </w:r>
    </w:p>
    <w:p w14:paraId="5453FE39" w14:textId="77777777">
      <w:pPr>
        <w:pStyle w:val="Compact"/>
        <w:numPr>
          <w:ilvl w:val="1"/>
          <w:numId w:val="9"/>
        </w:numPr>
      </w:pPr>
      <w:r>
        <w:t>Tucson : 52.8 kaf</w:t>
      </w:r>
    </w:p>
    <w:p w14:paraId="354CB7E2" w14:textId="77777777">
      <w:pPr>
        <w:pStyle w:val="Compact"/>
        <w:numPr>
          <w:ilvl w:val="1"/>
          <w:numId w:val="9"/>
        </w:numPr>
      </w:pPr>
      <w:r>
        <w:t>Spanish Trail Water Co. : 2.4 kaf</w:t>
      </w:r>
    </w:p>
    <w:p w14:paraId="5B373783" w14:textId="77777777">
      <w:pPr>
        <w:numPr>
          <w:ilvl w:val="0"/>
          <w:numId w:val="6"/>
        </w:numPr>
      </w:pPr>
      <w:r>
        <w:t>Bullhead City PSCP volume of 2,477 af</w:t>
      </w:r>
    </w:p>
    <w:p w14:paraId="70597155" w14:textId="77777777">
      <w:pPr>
        <w:numPr>
          <w:ilvl w:val="0"/>
          <w:numId w:val="6"/>
        </w:numPr>
      </w:pPr>
      <w:r>
        <w:t>System water created by the 242 Well Field Expansion Project of 45.0 kaf</w:t>
      </w:r>
    </w:p>
    <w:p w14:paraId="325DB46E" w14:textId="77777777">
      <w:pPr>
        <w:numPr>
          <w:ilvl w:val="0"/>
          <w:numId w:val="6"/>
        </w:numPr>
      </w:pPr>
      <w:r>
        <w:t>Binational ICS creation of 18.2 kaf by CAWCD</w:t>
      </w:r>
    </w:p>
    <w:p w14:paraId="4FDF9ED3" w14:textId="77777777">
      <w:pPr>
        <w:pStyle w:val="Heading5"/>
      </w:pPr>
      <w:bookmarkStart w:id="4" w:name="nevada-0.198-maf"/>
      <w:bookmarkEnd w:id="3"/>
      <w:r>
        <w:lastRenderedPageBreak/>
        <w:t xml:space="preserve">Nevada: </w:t>
      </w:r>
      <w:r>
        <w:rPr>
          <w:color w:val="0070C0"/>
        </w:rPr>
        <w:t>0.198 maf</w:t>
      </w:r>
    </w:p>
    <w:p w14:paraId="50DCEDB3" w14:textId="77777777">
      <w:pPr>
        <w:numPr>
          <w:ilvl w:val="0"/>
          <w:numId w:val="10"/>
        </w:numPr>
      </w:pPr>
      <w:r>
        <w:t>SNWA annual use of 190 kaf. Projected diversion includes:</w:t>
      </w:r>
    </w:p>
    <w:p w14:paraId="4697DF31" w14:textId="77777777">
      <w:pPr>
        <w:pStyle w:val="Compact"/>
        <w:numPr>
          <w:ilvl w:val="1"/>
          <w:numId w:val="11"/>
        </w:numPr>
      </w:pPr>
      <w:r>
        <w:t>Shortage volume of 13 kaf</w:t>
      </w:r>
    </w:p>
    <w:p w14:paraId="4B5A3B9C" w14:textId="77777777">
      <w:pPr>
        <w:numPr>
          <w:ilvl w:val="0"/>
          <w:numId w:val="10"/>
        </w:numPr>
      </w:pPr>
      <w:r>
        <w:t>DCP contribution of 8 kaf through EC ICS conversion</w:t>
      </w:r>
    </w:p>
    <w:p w14:paraId="5FAD9D39" w14:textId="77777777">
      <w:pPr>
        <w:numPr>
          <w:ilvl w:val="0"/>
          <w:numId w:val="10"/>
        </w:numPr>
      </w:pPr>
      <w:r>
        <w:t>Total System Conservation of 124 kaf</w:t>
      </w:r>
    </w:p>
    <w:p w14:paraId="22756D79" w14:textId="77777777">
      <w:pPr>
        <w:pStyle w:val="Compact"/>
        <w:numPr>
          <w:ilvl w:val="1"/>
          <w:numId w:val="12"/>
        </w:numPr>
      </w:pPr>
      <w:r>
        <w:t>Tributary conservation of 35 kaf</w:t>
      </w:r>
    </w:p>
    <w:p w14:paraId="0DF585AA" w14:textId="77777777">
      <w:pPr>
        <w:pStyle w:val="Compact"/>
        <w:numPr>
          <w:ilvl w:val="1"/>
          <w:numId w:val="12"/>
        </w:numPr>
      </w:pPr>
      <w:r>
        <w:t>Other system conservation of 89 kaf</w:t>
      </w:r>
    </w:p>
    <w:p w14:paraId="1F1581E8" w14:textId="77777777">
      <w:pPr>
        <w:numPr>
          <w:ilvl w:val="0"/>
          <w:numId w:val="10"/>
        </w:numPr>
      </w:pPr>
      <w:r>
        <w:t>Binational ICS creation of 18.2 kaf by SNWA</w:t>
      </w:r>
    </w:p>
    <w:p w14:paraId="17256F22" w14:textId="77777777">
      <w:pPr>
        <w:numPr>
          <w:ilvl w:val="0"/>
          <w:numId w:val="10"/>
        </w:numPr>
      </w:pPr>
      <w:r>
        <w:t>Vacated ICS space (to system water) of 58 kaf</w:t>
      </w:r>
    </w:p>
    <w:p w14:paraId="12253AA1" w14:textId="77777777">
      <w:pPr>
        <w:pStyle w:val="Compact"/>
        <w:numPr>
          <w:ilvl w:val="1"/>
          <w:numId w:val="13"/>
        </w:numPr>
      </w:pPr>
      <w:r>
        <w:t>DCP ICS of 8 kaf converted to system water</w:t>
      </w:r>
    </w:p>
    <w:p w14:paraId="3946ECB5" w14:textId="77777777">
      <w:pPr>
        <w:pStyle w:val="Compact"/>
        <w:numPr>
          <w:ilvl w:val="1"/>
          <w:numId w:val="13"/>
        </w:numPr>
      </w:pPr>
      <w:r>
        <w:t>EC ICS of 50 kaf converted to system water</w:t>
      </w:r>
    </w:p>
    <w:p w14:paraId="70F3BAC3" w14:textId="77777777">
      <w:pPr>
        <w:pStyle w:val="Heading4"/>
      </w:pPr>
      <w:bookmarkStart w:id="5" w:name="X47340189efd312bd8003c4a9a9634d6cd85667c"/>
      <w:bookmarkEnd w:id="1"/>
      <w:bookmarkEnd w:id="4"/>
      <w:r>
        <w:t>Mexico’s Scheduled Water Delivery: 1.304 maf</w:t>
      </w:r>
    </w:p>
    <w:p w14:paraId="5150B0F7" w14:textId="77777777">
      <w:pPr>
        <w:pStyle w:val="Compact"/>
        <w:numPr>
          <w:ilvl w:val="0"/>
          <w:numId w:val="14"/>
        </w:numPr>
      </w:pPr>
      <w:r>
        <w:t>Projected delivery includes:</w:t>
      </w:r>
    </w:p>
    <w:p w14:paraId="1FA1E3C0" w14:textId="77777777">
      <w:pPr>
        <w:pStyle w:val="Compact"/>
        <w:numPr>
          <w:ilvl w:val="1"/>
          <w:numId w:val="15"/>
        </w:numPr>
      </w:pPr>
      <w:r>
        <w:t>Shortage volume of 50 kaf</w:t>
      </w:r>
    </w:p>
    <w:p w14:paraId="20AB056F" w14:textId="77777777">
      <w:pPr>
        <w:pStyle w:val="Compact"/>
        <w:numPr>
          <w:ilvl w:val="1"/>
          <w:numId w:val="15"/>
        </w:numPr>
      </w:pPr>
      <w:r>
        <w:t>Recoverable Water Savings Contribution of 30 kaf</w:t>
      </w:r>
    </w:p>
    <w:p w14:paraId="5BFC2E24" w14:textId="77777777">
      <w:pPr>
        <w:pStyle w:val="Compact"/>
        <w:numPr>
          <w:ilvl w:val="0"/>
          <w:numId w:val="14"/>
        </w:numPr>
      </w:pPr>
      <w:r>
        <w:t>Water Reserve delivery of 21.6 kaf</w:t>
      </w:r>
    </w:p>
    <w:p w14:paraId="74830B78" w14:textId="77777777">
      <w:pPr>
        <w:pStyle w:val="Compact"/>
        <w:numPr>
          <w:ilvl w:val="0"/>
          <w:numId w:val="14"/>
        </w:numPr>
      </w:pPr>
      <w:r>
        <w:t>Water Reserve creation of 137.7 kaf</w:t>
      </w:r>
    </w:p>
    <w:p w14:paraId="625BE61D" w14:textId="77777777">
      <w:pPr>
        <w:pStyle w:val="Heading3"/>
      </w:pPr>
      <w:bookmarkStart w:id="6" w:name="section-1"/>
      <w:bookmarkEnd w:id="0"/>
      <w:bookmarkEnd w:id="5"/>
      <w:r>
        <w:t>2027</w:t>
      </w:r>
    </w:p>
    <w:p w14:paraId="7F7D343D" w14:textId="77777777">
      <w:pPr>
        <w:pStyle w:val="FirstParagraph"/>
        <w:rPr>
          <w:i/>
        </w:rPr>
      </w:pPr>
      <w:r>
        <w:t xml:space="preserve">Total projected water use </w:t>
      </w:r>
      <w:r>
        <w:rPr>
          <w:b/>
          <w:bCs/>
        </w:rPr>
        <w:t>(8.208 maf)</w:t>
      </w:r>
      <w:r>
        <w:t xml:space="preserve"> </w:t>
      </w:r>
      <w:r>
        <w:t xml:space="preserve">– </w:t>
      </w:r>
      <w:bookmarkStart w:id="7" w:name="u.s.-contractors-6.862-maf"/>
      <w:r>
        <w:rPr>
          <w:i/>
        </w:rPr>
        <w:t>Based on Lake Mead Operating Condition of Level 2 Shortage and water savings contributions under the LB DCP Agreement and IBWC Minute 323. For modeling purposes, simulated years beyond 2026 assume a continuation of the 2007 Interim Guidelines, the 2019 Colorado River Basin Drought Contingency Plans, and Minute 323, including the Binational Water Scarcity Contingency Plan. Except for certain provisions related to ICS recovery and Upper Basin demand management, operations under these agreements are in effect through 2026. Reclamation initiated the process to develop operations for post-2026 in June 2023, and the modeling assumptions described here are subject to change.</w:t>
      </w:r>
    </w:p>
    <w:p w14:paraId="2E81C918" w14:textId="014A1075">
      <w:pPr>
        <w:pStyle w:val="Heading4"/>
      </w:pPr>
      <w:r>
        <w:t>U.S. Contractors: 6.862 maf</w:t>
      </w:r>
    </w:p>
    <w:p w14:paraId="440C73A9" w14:textId="77777777">
      <w:pPr>
        <w:pStyle w:val="Heading5"/>
      </w:pPr>
      <w:bookmarkStart w:id="8" w:name="california-4.412-maf"/>
      <w:r>
        <w:t xml:space="preserve">California: </w:t>
      </w:r>
      <w:r>
        <w:rPr>
          <w:color w:val="0070C0"/>
        </w:rPr>
        <w:t>4.412 maf</w:t>
      </w:r>
    </w:p>
    <w:p w14:paraId="2CBE0159" w14:textId="77777777">
      <w:pPr>
        <w:numPr>
          <w:ilvl w:val="0"/>
          <w:numId w:val="16"/>
        </w:numPr>
      </w:pPr>
      <w:r>
        <w:t>MWD annual diversion of 940 kaf</w:t>
      </w:r>
    </w:p>
    <w:p w14:paraId="10467CD7" w14:textId="77777777">
      <w:pPr>
        <w:pStyle w:val="Compact"/>
        <w:numPr>
          <w:ilvl w:val="1"/>
          <w:numId w:val="17"/>
        </w:numPr>
      </w:pPr>
      <w:r>
        <w:t>Projected diversion includes the delivery of 12.5 kaf of ICS and 17.5 kaf of water stored for CVWD’s share of California’s DCP contribution</w:t>
      </w:r>
    </w:p>
    <w:p w14:paraId="7B2FFED9" w14:textId="77777777">
      <w:pPr>
        <w:numPr>
          <w:ilvl w:val="0"/>
          <w:numId w:val="16"/>
        </w:numPr>
      </w:pPr>
      <w:r>
        <w:t>DCP contribution of 250 kaf through EC ICS conversion</w:t>
      </w:r>
    </w:p>
    <w:p w14:paraId="7B50B441" w14:textId="77777777">
      <w:pPr>
        <w:numPr>
          <w:ilvl w:val="0"/>
          <w:numId w:val="16"/>
        </w:numPr>
      </w:pPr>
      <w:r>
        <w:t>Needles PSCP volume of 145 af</w:t>
      </w:r>
    </w:p>
    <w:p w14:paraId="62201154" w14:textId="77777777">
      <w:pPr>
        <w:pStyle w:val="Heading5"/>
      </w:pPr>
      <w:bookmarkStart w:id="9" w:name="arizona-2.219-maf"/>
      <w:bookmarkEnd w:id="8"/>
      <w:r>
        <w:t xml:space="preserve">Arizona: </w:t>
      </w:r>
      <w:r>
        <w:rPr>
          <w:color w:val="0070C0"/>
        </w:rPr>
        <w:t>2.219 maf</w:t>
      </w:r>
    </w:p>
    <w:p w14:paraId="0345BD21" w14:textId="77777777">
      <w:pPr>
        <w:numPr>
          <w:ilvl w:val="0"/>
          <w:numId w:val="18"/>
        </w:numPr>
      </w:pPr>
      <w:r>
        <w:t>CAP annual diversion of 940 kaf</w:t>
      </w:r>
    </w:p>
    <w:p w14:paraId="257546E6" w14:textId="77777777">
      <w:pPr>
        <w:pStyle w:val="Compact"/>
        <w:numPr>
          <w:ilvl w:val="1"/>
          <w:numId w:val="19"/>
        </w:numPr>
      </w:pPr>
      <w:r>
        <w:t>Projected diversion includes a Shortage volume of 400 kaf, DCP contribution of 240 kaf by CAWCD, and ICS delivery of 70.3 kaf</w:t>
      </w:r>
    </w:p>
    <w:p w14:paraId="1F2DA9F8" w14:textId="77777777">
      <w:pPr>
        <w:numPr>
          <w:ilvl w:val="0"/>
          <w:numId w:val="18"/>
        </w:numPr>
      </w:pPr>
      <w:r>
        <w:t>DCP contribution will be made by creating 50 kaf of ICS and 190 kaf of non-ICS water</w:t>
      </w:r>
    </w:p>
    <w:p w14:paraId="35DE535B" w14:textId="77777777">
      <w:pPr>
        <w:numPr>
          <w:ilvl w:val="0"/>
          <w:numId w:val="18"/>
        </w:numPr>
      </w:pPr>
      <w:r>
        <w:t>Total non-CAWCD System Conservation of 7.5 kaf</w:t>
      </w:r>
    </w:p>
    <w:p w14:paraId="2D308FBE" w14:textId="77777777">
      <w:pPr>
        <w:pStyle w:val="Compact"/>
        <w:numPr>
          <w:ilvl w:val="1"/>
          <w:numId w:val="20"/>
        </w:numPr>
      </w:pPr>
      <w:r>
        <w:t>GRIC : 7.5 kaf</w:t>
      </w:r>
    </w:p>
    <w:p w14:paraId="3B074304" w14:textId="77777777">
      <w:pPr>
        <w:numPr>
          <w:ilvl w:val="0"/>
          <w:numId w:val="18"/>
        </w:numPr>
      </w:pPr>
      <w:r>
        <w:t>Total CAWCD System Conservation of 3.6 kaf</w:t>
      </w:r>
    </w:p>
    <w:p w14:paraId="20A2C5E0" w14:textId="77777777">
      <w:pPr>
        <w:pStyle w:val="Compact"/>
        <w:numPr>
          <w:ilvl w:val="1"/>
          <w:numId w:val="21"/>
        </w:numPr>
      </w:pPr>
      <w:r>
        <w:t>Gilbert : 0.8 kaf</w:t>
      </w:r>
    </w:p>
    <w:p w14:paraId="1F8DD88D" w14:textId="77777777">
      <w:pPr>
        <w:pStyle w:val="Compact"/>
        <w:numPr>
          <w:ilvl w:val="1"/>
          <w:numId w:val="21"/>
        </w:numPr>
      </w:pPr>
      <w:r>
        <w:t>Tucson : 2.8 kaf</w:t>
      </w:r>
    </w:p>
    <w:p w14:paraId="1FB95937" w14:textId="77777777">
      <w:pPr>
        <w:pStyle w:val="Heading5"/>
      </w:pPr>
      <w:bookmarkStart w:id="10" w:name="nevada-0.230-maf"/>
      <w:bookmarkEnd w:id="9"/>
      <w:r>
        <w:lastRenderedPageBreak/>
        <w:t xml:space="preserve">Nevada: </w:t>
      </w:r>
      <w:r>
        <w:rPr>
          <w:color w:val="0070C0"/>
        </w:rPr>
        <w:t>0.230 maf</w:t>
      </w:r>
    </w:p>
    <w:p w14:paraId="24A04B1B" w14:textId="77777777">
      <w:pPr>
        <w:numPr>
          <w:ilvl w:val="0"/>
          <w:numId w:val="22"/>
        </w:numPr>
      </w:pPr>
      <w:r>
        <w:t>SNWA annual use of 220 kaf. Projected diversion includes:</w:t>
      </w:r>
    </w:p>
    <w:p w14:paraId="346E0029" w14:textId="77777777">
      <w:pPr>
        <w:pStyle w:val="Compact"/>
        <w:numPr>
          <w:ilvl w:val="1"/>
          <w:numId w:val="23"/>
        </w:numPr>
      </w:pPr>
      <w:r>
        <w:t>Shortage volume of 17 kaf</w:t>
      </w:r>
    </w:p>
    <w:p w14:paraId="7B08E4F4" w14:textId="77777777">
      <w:pPr>
        <w:pStyle w:val="Compact"/>
        <w:numPr>
          <w:ilvl w:val="1"/>
          <w:numId w:val="23"/>
        </w:numPr>
      </w:pPr>
      <w:r>
        <w:t>Creation of 53.1 kaf of EC ICS</w:t>
      </w:r>
    </w:p>
    <w:p w14:paraId="1F447076" w14:textId="77777777">
      <w:pPr>
        <w:numPr>
          <w:ilvl w:val="0"/>
          <w:numId w:val="22"/>
        </w:numPr>
      </w:pPr>
      <w:r>
        <w:t>DCP contribution of 10 kaf through EC ICS conversion</w:t>
      </w:r>
    </w:p>
    <w:p w14:paraId="1F9B103F" w14:textId="77777777">
      <w:pPr>
        <w:numPr>
          <w:ilvl w:val="0"/>
          <w:numId w:val="22"/>
        </w:numPr>
      </w:pPr>
      <w:r>
        <w:t>Total System Conservation of 35 kaf</w:t>
      </w:r>
    </w:p>
    <w:p w14:paraId="1ACB0F44" w14:textId="77777777">
      <w:pPr>
        <w:pStyle w:val="Compact"/>
        <w:numPr>
          <w:ilvl w:val="1"/>
          <w:numId w:val="24"/>
        </w:numPr>
      </w:pPr>
      <w:r>
        <w:t>Tributary conservation of 35 kaf</w:t>
      </w:r>
    </w:p>
    <w:p w14:paraId="7B155707" w14:textId="77777777">
      <w:pPr>
        <w:numPr>
          <w:ilvl w:val="0"/>
          <w:numId w:val="22"/>
        </w:numPr>
      </w:pPr>
      <w:r>
        <w:t>Vacated ICS space (to system water) of 10 kaf</w:t>
      </w:r>
    </w:p>
    <w:p w14:paraId="7CB891A3" w14:textId="77777777">
      <w:pPr>
        <w:pStyle w:val="Compact"/>
        <w:numPr>
          <w:ilvl w:val="1"/>
          <w:numId w:val="25"/>
        </w:numPr>
      </w:pPr>
      <w:r>
        <w:t>DCP ICS of 10 kaf converted to system water</w:t>
      </w:r>
    </w:p>
    <w:p w14:paraId="4FB82236" w14:textId="77777777">
      <w:pPr>
        <w:pStyle w:val="Heading4"/>
      </w:pPr>
      <w:bookmarkStart w:id="11" w:name="Xe9a95af07f08ae23df36ad5e660859f36869287"/>
      <w:bookmarkEnd w:id="7"/>
      <w:bookmarkEnd w:id="10"/>
      <w:r>
        <w:t>Mexico’s Scheduled Water Delivery: 1.346 maf</w:t>
      </w:r>
    </w:p>
    <w:p w14:paraId="66053F2A" w14:textId="77777777">
      <w:pPr>
        <w:pStyle w:val="Compact"/>
        <w:numPr>
          <w:ilvl w:val="0"/>
          <w:numId w:val="26"/>
        </w:numPr>
      </w:pPr>
      <w:r>
        <w:t>Projected delivery includes:</w:t>
      </w:r>
    </w:p>
    <w:p w14:paraId="72552E62" w14:textId="77777777">
      <w:pPr>
        <w:pStyle w:val="Compact"/>
        <w:numPr>
          <w:ilvl w:val="1"/>
          <w:numId w:val="27"/>
        </w:numPr>
      </w:pPr>
      <w:r>
        <w:t>Shortage volume of 70 kaf</w:t>
      </w:r>
    </w:p>
    <w:p w14:paraId="48E156AB" w14:textId="77777777">
      <w:pPr>
        <w:pStyle w:val="Compact"/>
        <w:numPr>
          <w:ilvl w:val="1"/>
          <w:numId w:val="27"/>
        </w:numPr>
      </w:pPr>
      <w:r>
        <w:t>Recoverable Water Savings Contribution of 84 kaf</w:t>
      </w:r>
    </w:p>
    <w:p w14:paraId="07C6BBB6" w14:textId="77777777">
      <w:pPr>
        <w:pStyle w:val="Heading3"/>
      </w:pPr>
      <w:bookmarkStart w:id="12" w:name="section-2"/>
      <w:bookmarkEnd w:id="6"/>
      <w:bookmarkEnd w:id="11"/>
      <w:r>
        <w:t>2028</w:t>
      </w:r>
    </w:p>
    <w:p w14:paraId="037E10CA" w14:textId="77777777">
      <w:pPr>
        <w:pStyle w:val="FirstParagraph"/>
        <w:rPr>
          <w:i/>
        </w:rPr>
      </w:pPr>
      <w:r>
        <w:t xml:space="preserve">Total projected water use </w:t>
      </w:r>
      <w:r>
        <w:rPr>
          <w:b/>
          <w:bCs/>
        </w:rPr>
        <w:t>(7.961 maf)</w:t>
      </w:r>
      <w:r>
        <w:t xml:space="preserve"> – </w:t>
      </w:r>
      <w:bookmarkStart w:id="13" w:name="u.s.-contractors-6.736-maf"/>
      <w:r>
        <w:rPr>
          <w:i/>
        </w:rPr>
        <w:t>Based on Lake Mead Operating Condition of Level 3 Shortage and water savings contributions under the LB DCP Agreement and IBWC Minute 323. For modeling purposes, simulated years beyond 2026 assume a continuation of the 2007 Interim Guidelines, the 2019 Colorado River Basin Drought Contingency Plans, and Minute 323, including the Binational Water Scarcity Contingency Plan. Except for certain provisions related to ICS recovery and Upper Basin demand management, operations under these agreements are in effect through 2026. Reclamation initiated the process to develop operations for post-2026 in June 2023, and the modeling assumptions described here are subject to change.</w:t>
      </w:r>
    </w:p>
    <w:p w14:paraId="3EF6498E" w14:textId="1656B72E">
      <w:pPr>
        <w:pStyle w:val="Heading4"/>
      </w:pPr>
      <w:r>
        <w:t>U.S. Contractors: 6.736 maf</w:t>
      </w:r>
    </w:p>
    <w:p w14:paraId="0970AD9F" w14:textId="77777777">
      <w:pPr>
        <w:pStyle w:val="Heading5"/>
      </w:pPr>
      <w:bookmarkStart w:id="14" w:name="california-4.387-maf"/>
      <w:r>
        <w:t xml:space="preserve">California: </w:t>
      </w:r>
      <w:r>
        <w:rPr>
          <w:color w:val="0070C0"/>
        </w:rPr>
        <w:t>4.387 maf</w:t>
      </w:r>
    </w:p>
    <w:p w14:paraId="42C168DB" w14:textId="77777777">
      <w:pPr>
        <w:numPr>
          <w:ilvl w:val="0"/>
          <w:numId w:val="28"/>
        </w:numPr>
      </w:pPr>
      <w:r>
        <w:t>MWD annual diversion of 922 kaf</w:t>
      </w:r>
    </w:p>
    <w:p w14:paraId="10E066F6" w14:textId="77777777">
      <w:pPr>
        <w:pStyle w:val="Compact"/>
        <w:numPr>
          <w:ilvl w:val="1"/>
          <w:numId w:val="29"/>
        </w:numPr>
      </w:pPr>
      <w:r>
        <w:t>Projected diversion includes the creation of 12.5 kaf of ICS and 24.5 kaf of water stored for CVWD’s share of California’s DCP contribution</w:t>
      </w:r>
    </w:p>
    <w:p w14:paraId="0BDAB733" w14:textId="77777777">
      <w:pPr>
        <w:numPr>
          <w:ilvl w:val="0"/>
          <w:numId w:val="28"/>
        </w:numPr>
      </w:pPr>
      <w:r>
        <w:t>DCP contribution of 350 kaf through EC ICS conversion</w:t>
      </w:r>
    </w:p>
    <w:p w14:paraId="60B2CC1C" w14:textId="77777777">
      <w:pPr>
        <w:numPr>
          <w:ilvl w:val="0"/>
          <w:numId w:val="28"/>
        </w:numPr>
      </w:pPr>
      <w:r>
        <w:t>Needles PSCP volume of 145 af</w:t>
      </w:r>
    </w:p>
    <w:p w14:paraId="464D2AEF" w14:textId="77777777">
      <w:pPr>
        <w:pStyle w:val="Heading5"/>
      </w:pPr>
      <w:bookmarkStart w:id="15" w:name="arizona-2.069-maf"/>
      <w:bookmarkEnd w:id="14"/>
      <w:r>
        <w:t xml:space="preserve">Arizona: </w:t>
      </w:r>
      <w:r>
        <w:rPr>
          <w:color w:val="0070C0"/>
        </w:rPr>
        <w:t>2.069 maf</w:t>
      </w:r>
    </w:p>
    <w:p w14:paraId="1974E7B8" w14:textId="77777777">
      <w:pPr>
        <w:numPr>
          <w:ilvl w:val="0"/>
          <w:numId w:val="30"/>
        </w:numPr>
      </w:pPr>
      <w:r>
        <w:t>CAP annual diversion of 789 kaf</w:t>
      </w:r>
    </w:p>
    <w:p w14:paraId="34EA4FF7" w14:textId="77777777">
      <w:pPr>
        <w:pStyle w:val="Compact"/>
        <w:numPr>
          <w:ilvl w:val="1"/>
          <w:numId w:val="31"/>
        </w:numPr>
      </w:pPr>
      <w:r>
        <w:t>Projected diversion includes a Shortage volume of 480 kaf, and DCP contribution of 240 kaf by CAWCD</w:t>
      </w:r>
    </w:p>
    <w:p w14:paraId="1C0A9392" w14:textId="77777777">
      <w:pPr>
        <w:numPr>
          <w:ilvl w:val="0"/>
          <w:numId w:val="30"/>
        </w:numPr>
      </w:pPr>
      <w:r>
        <w:t>DCP contribution will be made by creating 25.3 kaf of ICS and 214.7 kaf of non-ICS water</w:t>
      </w:r>
    </w:p>
    <w:p w14:paraId="5CCBFD89" w14:textId="77777777">
      <w:pPr>
        <w:numPr>
          <w:ilvl w:val="0"/>
          <w:numId w:val="30"/>
        </w:numPr>
      </w:pPr>
      <w:r>
        <w:t>Total non-CAWCD System Conservation of 7.5 kaf</w:t>
      </w:r>
    </w:p>
    <w:p w14:paraId="18CA6523" w14:textId="77777777">
      <w:pPr>
        <w:pStyle w:val="Compact"/>
        <w:numPr>
          <w:ilvl w:val="1"/>
          <w:numId w:val="32"/>
        </w:numPr>
      </w:pPr>
      <w:r>
        <w:t>GRIC : 7.5 kaf</w:t>
      </w:r>
    </w:p>
    <w:p w14:paraId="2796A690" w14:textId="77777777">
      <w:pPr>
        <w:numPr>
          <w:ilvl w:val="0"/>
          <w:numId w:val="30"/>
        </w:numPr>
      </w:pPr>
      <w:r>
        <w:t>Total CAWCD System Conservation of 3.6 kaf</w:t>
      </w:r>
    </w:p>
    <w:p w14:paraId="5980BAA7" w14:textId="77777777">
      <w:pPr>
        <w:pStyle w:val="Compact"/>
        <w:numPr>
          <w:ilvl w:val="1"/>
          <w:numId w:val="33"/>
        </w:numPr>
      </w:pPr>
      <w:r>
        <w:t>Gilbert : 0.8 kaf</w:t>
      </w:r>
    </w:p>
    <w:p w14:paraId="3A85786D" w14:textId="77777777">
      <w:pPr>
        <w:pStyle w:val="Compact"/>
        <w:numPr>
          <w:ilvl w:val="1"/>
          <w:numId w:val="33"/>
        </w:numPr>
      </w:pPr>
      <w:r>
        <w:t>Tucson : 2.8 kaf</w:t>
      </w:r>
    </w:p>
    <w:p w14:paraId="2D69CCAF" w14:textId="77777777">
      <w:pPr>
        <w:pStyle w:val="Heading5"/>
      </w:pPr>
      <w:bookmarkStart w:id="16" w:name="nevada-0.280-maf"/>
      <w:bookmarkEnd w:id="15"/>
      <w:r>
        <w:t xml:space="preserve">Nevada: </w:t>
      </w:r>
      <w:r>
        <w:rPr>
          <w:color w:val="0070C0"/>
        </w:rPr>
        <w:t>0.280 maf</w:t>
      </w:r>
    </w:p>
    <w:p w14:paraId="4EDE1C4E" w14:textId="77777777">
      <w:pPr>
        <w:numPr>
          <w:ilvl w:val="0"/>
          <w:numId w:val="34"/>
        </w:numPr>
      </w:pPr>
      <w:r>
        <w:t>SNWA annual use of 270 kaf. Projected diversion includes:</w:t>
      </w:r>
    </w:p>
    <w:p w14:paraId="39F0C829" w14:textId="77777777">
      <w:pPr>
        <w:pStyle w:val="Compact"/>
        <w:numPr>
          <w:ilvl w:val="1"/>
          <w:numId w:val="35"/>
        </w:numPr>
      </w:pPr>
      <w:r>
        <w:t>Shortage volume of 20 kaf</w:t>
      </w:r>
    </w:p>
    <w:p w14:paraId="653B8EFB" w14:textId="77777777">
      <w:pPr>
        <w:numPr>
          <w:ilvl w:val="0"/>
          <w:numId w:val="34"/>
        </w:numPr>
      </w:pPr>
      <w:r>
        <w:t>DCP contribution of 10 kaf through EC ICS conversion</w:t>
      </w:r>
    </w:p>
    <w:p w14:paraId="38E914F7" w14:textId="77777777">
      <w:pPr>
        <w:numPr>
          <w:ilvl w:val="0"/>
          <w:numId w:val="34"/>
        </w:numPr>
      </w:pPr>
      <w:r>
        <w:t>Total System Conservation of 35 kaf</w:t>
      </w:r>
    </w:p>
    <w:p w14:paraId="60D62324" w14:textId="77777777">
      <w:pPr>
        <w:pStyle w:val="Compact"/>
        <w:numPr>
          <w:ilvl w:val="1"/>
          <w:numId w:val="36"/>
        </w:numPr>
      </w:pPr>
      <w:r>
        <w:lastRenderedPageBreak/>
        <w:t>Tributary conservation of 35 kaf</w:t>
      </w:r>
    </w:p>
    <w:p w14:paraId="120F0D00" w14:textId="77777777">
      <w:pPr>
        <w:numPr>
          <w:ilvl w:val="0"/>
          <w:numId w:val="34"/>
        </w:numPr>
      </w:pPr>
      <w:r>
        <w:t>Vacated ICS space (to system water) of 37.8 kaf</w:t>
      </w:r>
    </w:p>
    <w:p w14:paraId="66726235" w14:textId="77777777">
      <w:pPr>
        <w:pStyle w:val="Compact"/>
        <w:numPr>
          <w:ilvl w:val="1"/>
          <w:numId w:val="37"/>
        </w:numPr>
      </w:pPr>
      <w:r>
        <w:t>DCP ICS of 10 kaf converted to system water</w:t>
      </w:r>
    </w:p>
    <w:p w14:paraId="4D2E87B6" w14:textId="77777777">
      <w:pPr>
        <w:pStyle w:val="Compact"/>
        <w:numPr>
          <w:ilvl w:val="1"/>
          <w:numId w:val="37"/>
        </w:numPr>
      </w:pPr>
      <w:r>
        <w:t>EC ICS of 27.8 kaf converted to system water</w:t>
      </w:r>
    </w:p>
    <w:p w14:paraId="0D191FA5" w14:textId="77777777">
      <w:pPr>
        <w:pStyle w:val="Heading4"/>
      </w:pPr>
      <w:bookmarkStart w:id="17" w:name="X4940b1bbfca3d9beac69503c1179f39ebebfc9e"/>
      <w:bookmarkEnd w:id="13"/>
      <w:bookmarkEnd w:id="16"/>
      <w:r>
        <w:t>Mexico’s Scheduled Water Delivery: 1.225 maf</w:t>
      </w:r>
    </w:p>
    <w:p w14:paraId="17DFBE35" w14:textId="77777777">
      <w:pPr>
        <w:pStyle w:val="Compact"/>
        <w:numPr>
          <w:ilvl w:val="0"/>
          <w:numId w:val="38"/>
        </w:numPr>
      </w:pPr>
      <w:r>
        <w:t>Projected delivery includes:</w:t>
      </w:r>
    </w:p>
    <w:p w14:paraId="7D90B2BE" w14:textId="77777777">
      <w:pPr>
        <w:pStyle w:val="Compact"/>
        <w:numPr>
          <w:ilvl w:val="1"/>
          <w:numId w:val="39"/>
        </w:numPr>
      </w:pPr>
      <w:r>
        <w:t>Shortage volume of 125 kaf</w:t>
      </w:r>
    </w:p>
    <w:p w14:paraId="33262BC5" w14:textId="77777777">
      <w:pPr>
        <w:pStyle w:val="Compact"/>
        <w:numPr>
          <w:ilvl w:val="1"/>
          <w:numId w:val="39"/>
        </w:numPr>
      </w:pPr>
      <w:r>
        <w:t>Recoverable Water Savings Contribution of 150 kaf</w:t>
      </w:r>
    </w:p>
    <w:p w14:paraId="5A69EB13" w14:textId="77777777">
      <w:pPr>
        <w:pStyle w:val="Heading3"/>
      </w:pPr>
      <w:bookmarkStart w:id="18" w:name="ics-totals"/>
      <w:bookmarkEnd w:id="12"/>
      <w:bookmarkEnd w:id="17"/>
      <w:r>
        <w:t>ICS Totals</w:t>
      </w:r>
    </w:p>
    <w:p w14:paraId="2C6C0ED2" w14:textId="77777777">
      <w:pPr>
        <w:pStyle w:val="Compact"/>
        <w:numPr>
          <w:ilvl w:val="0"/>
          <w:numId w:val="40"/>
        </w:numPr>
      </w:pPr>
      <w:r>
        <w:t xml:space="preserve">Projected ICS Total Storage at the end of CY 2028: </w:t>
      </w:r>
      <w:r>
        <w:rPr>
          <w:b/>
          <w:bCs/>
        </w:rPr>
        <w:t>2.700 maf</w:t>
      </w:r>
    </w:p>
    <w:p w14:paraId="48815CBD" w14:textId="77777777">
      <w:pPr>
        <w:pStyle w:val="Compact"/>
        <w:numPr>
          <w:ilvl w:val="0"/>
          <w:numId w:val="40"/>
        </w:numPr>
      </w:pPr>
      <w:r>
        <w:t>Projected ICS Storage Balances at the end of each calendar year in the study are as follows:</w:t>
      </w:r>
    </w:p>
    <w:p w14:paraId="25CF9F52" w14:textId="77777777">
      <w:r>
        <w:br/>
      </w:r>
    </w:p>
    <w:tbl>
      <w:tblPr>
        <w:tblW w:w="0" w:type="auto"/>
        <w:jc w:val="center"/>
        <w:tblLayout w:type="fixed"/>
        <w:tblLook w:val="0420" w:firstRow="1" w:lastRow="0" w:firstColumn="0" w:lastColumn="0" w:noHBand="0" w:noVBand="1"/>
      </w:tblPr>
      <w:tblGrid>
        <w:gridCol w:w="2692"/>
        <w:gridCol w:w="1377"/>
        <w:gridCol w:w="1377"/>
        <w:gridCol w:w="1377"/>
      </w:tblGrid>
      <w:tr w14:paraId="35E3EBFE" w14:textId="77777777">
        <w:trPr>
          <w:tblHeader/>
          <w:jc w:val="center"/>
        </w:trPr>
        <w:tc>
          <w:tcPr>
            <w:tcW w:w="2692"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91FCC68"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b/>
                <w:color w:val="000000"/>
                <w:szCs w:val="20"/>
              </w:rPr>
            </w:pPr>
            <w:r>
              <w:rPr>
                <w:rFonts w:eastAsia="DejaVu Sans" w:cs="Arial"/>
                <w:b/>
                <w:color w:val="000000"/>
                <w:szCs w:val="20"/>
              </w:rPr>
              <w:t>State (volumes in AF)</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3F16D6D"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b/>
                <w:color w:val="000000"/>
                <w:szCs w:val="20"/>
              </w:rPr>
            </w:pPr>
            <w:r>
              <w:rPr>
                <w:rFonts w:eastAsia="DejaVu Sans" w:cs="Arial"/>
                <w:b/>
                <w:color w:val="000000"/>
                <w:szCs w:val="20"/>
              </w:rPr>
              <w:t>2026</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FFFB88E"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b/>
                <w:color w:val="000000"/>
                <w:szCs w:val="20"/>
              </w:rPr>
            </w:pPr>
            <w:r>
              <w:rPr>
                <w:rFonts w:eastAsia="DejaVu Sans" w:cs="Arial"/>
                <w:b/>
                <w:color w:val="000000"/>
                <w:szCs w:val="20"/>
              </w:rPr>
              <w:t>2027</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057DDC7"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b/>
                <w:color w:val="000000"/>
                <w:szCs w:val="20"/>
              </w:rPr>
            </w:pPr>
            <w:r>
              <w:rPr>
                <w:rFonts w:eastAsia="DejaVu Sans" w:cs="Arial"/>
                <w:b/>
                <w:color w:val="000000"/>
                <w:szCs w:val="20"/>
              </w:rPr>
              <w:t>2028</w:t>
            </w:r>
          </w:p>
        </w:tc>
      </w:tr>
      <w:tr w14:paraId="67D0BAA2" w14:textId="77777777">
        <w:trPr>
          <w:jc w:val="center"/>
        </w:trPr>
        <w:tc>
          <w:tcPr>
            <w:tcW w:w="2692"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3E13ACE"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color w:val="000000"/>
                <w:szCs w:val="20"/>
              </w:rPr>
            </w:pPr>
            <w:r>
              <w:rPr>
                <w:rFonts w:eastAsia="DejaVu Sans" w:cs="Arial"/>
                <w:color w:val="000000"/>
                <w:szCs w:val="20"/>
              </w:rPr>
              <w:t>AZ</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299A7E8"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color w:val="000000"/>
                <w:szCs w:val="20"/>
              </w:rPr>
            </w:pPr>
            <w:r>
              <w:rPr>
                <w:rFonts w:eastAsia="DejaVu Sans" w:cs="Arial"/>
                <w:color w:val="000000"/>
                <w:szCs w:val="20"/>
              </w:rPr>
              <w:t>600,000</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BCB5C88"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color w:val="000000"/>
                <w:szCs w:val="20"/>
              </w:rPr>
            </w:pPr>
            <w:r>
              <w:rPr>
                <w:rFonts w:eastAsia="DejaVu Sans" w:cs="Arial"/>
                <w:color w:val="000000"/>
                <w:szCs w:val="20"/>
              </w:rPr>
              <w:t>574,741</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3A97A97"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color w:val="000000"/>
                <w:szCs w:val="20"/>
              </w:rPr>
            </w:pPr>
            <w:r>
              <w:rPr>
                <w:rFonts w:eastAsia="DejaVu Sans" w:cs="Arial"/>
                <w:color w:val="000000"/>
                <w:szCs w:val="20"/>
              </w:rPr>
              <w:t>600,000</w:t>
            </w:r>
          </w:p>
        </w:tc>
      </w:tr>
      <w:tr w14:paraId="7AB3317D" w14:textId="77777777">
        <w:trPr>
          <w:jc w:val="center"/>
        </w:trPr>
        <w:tc>
          <w:tcPr>
            <w:tcW w:w="2692"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D94D981"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color w:val="000000"/>
                <w:szCs w:val="20"/>
              </w:rPr>
            </w:pPr>
            <w:r>
              <w:rPr>
                <w:rFonts w:eastAsia="DejaVu Sans" w:cs="Arial"/>
                <w:color w:val="000000"/>
                <w:szCs w:val="20"/>
              </w:rPr>
              <w:t>CA</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268FEFB"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color w:val="000000"/>
                <w:szCs w:val="20"/>
              </w:rPr>
            </w:pPr>
            <w:r>
              <w:rPr>
                <w:rFonts w:eastAsia="DejaVu Sans" w:cs="Arial"/>
                <w:color w:val="000000"/>
                <w:szCs w:val="20"/>
              </w:rPr>
              <w:t>1,650,000</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10ACA35"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color w:val="000000"/>
                <w:szCs w:val="20"/>
              </w:rPr>
            </w:pPr>
            <w:r>
              <w:rPr>
                <w:rFonts w:eastAsia="DejaVu Sans" w:cs="Arial"/>
                <w:color w:val="000000"/>
                <w:szCs w:val="20"/>
              </w:rPr>
              <w:t>1,637,474</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5FC4A17"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color w:val="000000"/>
                <w:szCs w:val="20"/>
              </w:rPr>
            </w:pPr>
            <w:r>
              <w:rPr>
                <w:rFonts w:eastAsia="DejaVu Sans" w:cs="Arial"/>
                <w:color w:val="000000"/>
                <w:szCs w:val="20"/>
              </w:rPr>
              <w:t>1,650,000</w:t>
            </w:r>
          </w:p>
        </w:tc>
      </w:tr>
      <w:tr w14:paraId="1B529196" w14:textId="77777777">
        <w:trPr>
          <w:jc w:val="center"/>
        </w:trPr>
        <w:tc>
          <w:tcPr>
            <w:tcW w:w="2692"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77E8025"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color w:val="000000"/>
                <w:szCs w:val="20"/>
              </w:rPr>
            </w:pPr>
            <w:r>
              <w:rPr>
                <w:rFonts w:eastAsia="DejaVu Sans" w:cs="Arial"/>
                <w:color w:val="000000"/>
                <w:szCs w:val="20"/>
              </w:rPr>
              <w:t>NV</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B06EF78"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color w:val="000000"/>
                <w:szCs w:val="20"/>
              </w:rPr>
            </w:pPr>
            <w:r>
              <w:rPr>
                <w:rFonts w:eastAsia="DejaVu Sans" w:cs="Arial"/>
                <w:color w:val="000000"/>
                <w:szCs w:val="20"/>
              </w:rPr>
              <w:t>450,000</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41DBB3E"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color w:val="000000"/>
                <w:szCs w:val="20"/>
              </w:rPr>
            </w:pPr>
            <w:r>
              <w:rPr>
                <w:rFonts w:eastAsia="DejaVu Sans" w:cs="Arial"/>
                <w:color w:val="000000"/>
                <w:szCs w:val="20"/>
              </w:rPr>
              <w:t>487,785</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3A4FB88"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color w:val="000000"/>
                <w:szCs w:val="20"/>
              </w:rPr>
            </w:pPr>
            <w:r>
              <w:rPr>
                <w:rFonts w:eastAsia="DejaVu Sans" w:cs="Arial"/>
                <w:color w:val="000000"/>
                <w:szCs w:val="20"/>
              </w:rPr>
              <w:t>450,000</w:t>
            </w:r>
          </w:p>
        </w:tc>
      </w:tr>
      <w:tr w14:paraId="5E37CB35" w14:textId="77777777">
        <w:trPr>
          <w:jc w:val="center"/>
        </w:trPr>
        <w:tc>
          <w:tcPr>
            <w:tcW w:w="2692"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9A7E0AA"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b/>
                <w:color w:val="000000"/>
                <w:szCs w:val="20"/>
              </w:rPr>
            </w:pPr>
            <w:r>
              <w:rPr>
                <w:rFonts w:eastAsia="DejaVu Sans" w:cs="Arial"/>
                <w:b/>
                <w:color w:val="000000"/>
                <w:szCs w:val="20"/>
              </w:rPr>
              <w:t>Total</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862A3F0"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b/>
                <w:color w:val="000000"/>
                <w:szCs w:val="20"/>
              </w:rPr>
            </w:pPr>
            <w:r>
              <w:rPr>
                <w:rFonts w:eastAsia="DejaVu Sans" w:cs="Arial"/>
                <w:b/>
                <w:color w:val="000000"/>
                <w:szCs w:val="20"/>
              </w:rPr>
              <w:t>2,700,000</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B380149"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b/>
                <w:color w:val="000000"/>
                <w:szCs w:val="20"/>
              </w:rPr>
            </w:pPr>
            <w:r>
              <w:rPr>
                <w:rFonts w:eastAsia="DejaVu Sans" w:cs="Arial"/>
                <w:b/>
                <w:color w:val="000000"/>
                <w:szCs w:val="20"/>
              </w:rPr>
              <w:t>2,700,000</w:t>
            </w:r>
          </w:p>
        </w:tc>
        <w:tc>
          <w:tcPr>
            <w:tcW w:w="137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E9611DA" w14:textId="77777777">
            <w:pPr>
              <w:pBdr>
                <w:top w:val="none" w:sz="0" w:space="0" w:color="000000"/>
                <w:left w:val="none" w:sz="0" w:space="0" w:color="000000"/>
                <w:bottom w:val="none" w:sz="0" w:space="0" w:color="000000"/>
                <w:right w:val="none" w:sz="0" w:space="0" w:color="000000"/>
              </w:pBdr>
              <w:spacing w:before="40" w:after="40"/>
              <w:ind w:left="40" w:right="40"/>
              <w:jc w:val="center"/>
              <w:rPr>
                <w:rFonts w:eastAsia="DejaVu Sans" w:cs="Arial"/>
                <w:b/>
                <w:color w:val="000000"/>
                <w:szCs w:val="20"/>
              </w:rPr>
            </w:pPr>
            <w:r>
              <w:rPr>
                <w:rFonts w:eastAsia="DejaVu Sans" w:cs="Arial"/>
                <w:b/>
                <w:color w:val="000000"/>
                <w:szCs w:val="20"/>
              </w:rPr>
              <w:t>2,700,000</w:t>
            </w:r>
          </w:p>
        </w:tc>
      </w:tr>
    </w:tbl>
    <w:p w14:paraId="1D7BA991" w14:textId="77777777">
      <w:r>
        <w:br w:type="page"/>
      </w:r>
    </w:p>
    <w:p w14:paraId="2C24D613" w14:textId="77777777">
      <w:pPr>
        <w:pStyle w:val="Heading3"/>
      </w:pPr>
      <w:bookmarkStart w:id="19" w:name="modeled-lower-basin-conservation-actions"/>
      <w:bookmarkEnd w:id="18"/>
      <w:r>
        <w:lastRenderedPageBreak/>
        <w:t>Modeled Lower Basin Conservation Actions</w:t>
      </w:r>
    </w:p>
    <w:tbl>
      <w:tblPr>
        <w:tblW w:w="0" w:type="auto"/>
        <w:jc w:val="center"/>
        <w:tblLayout w:type="fixed"/>
        <w:tblLook w:val="0420" w:firstRow="1" w:lastRow="0" w:firstColumn="0" w:lastColumn="0" w:noHBand="0" w:noVBand="1"/>
      </w:tblPr>
      <w:tblGrid>
        <w:gridCol w:w="720"/>
        <w:gridCol w:w="4608"/>
        <w:gridCol w:w="1008"/>
        <w:gridCol w:w="1008"/>
        <w:gridCol w:w="1008"/>
        <w:gridCol w:w="1008"/>
      </w:tblGrid>
      <w:tr w14:paraId="1801E09C" w14:textId="77777777">
        <w:trPr>
          <w:tblHeader/>
          <w:jc w:val="center"/>
        </w:trPr>
        <w:tc>
          <w:tcPr>
            <w:tcW w:w="720" w:type="dxa"/>
            <w:tcBorders>
              <w:top w:val="single" w:sz="12" w:space="0" w:color="000000"/>
              <w:left w:val="single" w:sz="12" w:space="0" w:color="000000"/>
              <w:bottom w:val="single" w:sz="12" w:space="0" w:color="000000"/>
              <w:right w:val="single" w:sz="8" w:space="0" w:color="000000"/>
            </w:tcBorders>
            <w:shd w:val="clear" w:color="auto" w:fill="F0F0F0"/>
            <w:tcMar>
              <w:top w:w="0" w:type="dxa"/>
              <w:left w:w="0" w:type="dxa"/>
              <w:bottom w:w="0" w:type="dxa"/>
              <w:right w:w="0" w:type="dxa"/>
            </w:tcMar>
            <w:vAlign w:val="center"/>
          </w:tcPr>
          <w:p w14:paraId="1C356BCC"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r>
              <w:rPr>
                <w:rFonts w:eastAsia="DejaVu Sans" w:cs="Arial"/>
                <w:b/>
                <w:color w:val="000000"/>
                <w:sz w:val="18"/>
                <w:szCs w:val="18"/>
              </w:rPr>
              <w:t>State</w:t>
            </w:r>
          </w:p>
        </w:tc>
        <w:tc>
          <w:tcPr>
            <w:tcW w:w="4608" w:type="dxa"/>
            <w:tcBorders>
              <w:top w:val="single" w:sz="12" w:space="0" w:color="000000"/>
              <w:left w:val="single" w:sz="8" w:space="0" w:color="000000"/>
              <w:bottom w:val="single" w:sz="12" w:space="0" w:color="000000"/>
              <w:right w:val="single" w:sz="8" w:space="0" w:color="000000"/>
            </w:tcBorders>
            <w:shd w:val="clear" w:color="auto" w:fill="F0F0F0"/>
            <w:tcMar>
              <w:top w:w="0" w:type="dxa"/>
              <w:left w:w="0" w:type="dxa"/>
              <w:bottom w:w="0" w:type="dxa"/>
              <w:right w:w="0" w:type="dxa"/>
            </w:tcMar>
            <w:vAlign w:val="center"/>
          </w:tcPr>
          <w:p w14:paraId="4875433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r>
              <w:rPr>
                <w:rFonts w:eastAsia="DejaVu Sans" w:cs="Arial"/>
                <w:b/>
                <w:color w:val="000000"/>
                <w:sz w:val="18"/>
                <w:szCs w:val="18"/>
              </w:rPr>
              <w:t>Conservation Activity</w:t>
            </w:r>
          </w:p>
        </w:tc>
        <w:tc>
          <w:tcPr>
            <w:tcW w:w="1008" w:type="dxa"/>
            <w:tcBorders>
              <w:top w:val="single" w:sz="12" w:space="0" w:color="000000"/>
              <w:left w:val="single" w:sz="8" w:space="0" w:color="000000"/>
              <w:bottom w:val="single" w:sz="12" w:space="0" w:color="000000"/>
              <w:right w:val="single" w:sz="8" w:space="0" w:color="000000"/>
            </w:tcBorders>
            <w:shd w:val="clear" w:color="auto" w:fill="F0F0F0"/>
            <w:tcMar>
              <w:top w:w="0" w:type="dxa"/>
              <w:left w:w="0" w:type="dxa"/>
              <w:bottom w:w="0" w:type="dxa"/>
              <w:right w:w="0" w:type="dxa"/>
            </w:tcMar>
            <w:vAlign w:val="center"/>
          </w:tcPr>
          <w:p w14:paraId="55A10B45"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r>
              <w:rPr>
                <w:rFonts w:eastAsia="DejaVu Sans" w:cs="Arial"/>
                <w:b/>
                <w:color w:val="000000"/>
                <w:sz w:val="18"/>
                <w:szCs w:val="18"/>
              </w:rPr>
              <w:t>2026</w:t>
            </w:r>
          </w:p>
        </w:tc>
        <w:tc>
          <w:tcPr>
            <w:tcW w:w="1008" w:type="dxa"/>
            <w:tcBorders>
              <w:top w:val="single" w:sz="12" w:space="0" w:color="000000"/>
              <w:left w:val="single" w:sz="8" w:space="0" w:color="000000"/>
              <w:bottom w:val="single" w:sz="12" w:space="0" w:color="000000"/>
              <w:right w:val="single" w:sz="8" w:space="0" w:color="000000"/>
            </w:tcBorders>
            <w:shd w:val="clear" w:color="auto" w:fill="F0F0F0"/>
            <w:tcMar>
              <w:top w:w="0" w:type="dxa"/>
              <w:left w:w="0" w:type="dxa"/>
              <w:bottom w:w="0" w:type="dxa"/>
              <w:right w:w="0" w:type="dxa"/>
            </w:tcMar>
            <w:vAlign w:val="center"/>
          </w:tcPr>
          <w:p w14:paraId="1E3A31EE"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r>
              <w:rPr>
                <w:rFonts w:eastAsia="DejaVu Sans" w:cs="Arial"/>
                <w:b/>
                <w:color w:val="000000"/>
                <w:sz w:val="18"/>
                <w:szCs w:val="18"/>
              </w:rPr>
              <w:t>2027</w:t>
            </w:r>
          </w:p>
        </w:tc>
        <w:tc>
          <w:tcPr>
            <w:tcW w:w="1008" w:type="dxa"/>
            <w:tcBorders>
              <w:top w:val="single" w:sz="12" w:space="0" w:color="000000"/>
              <w:left w:val="single" w:sz="8" w:space="0" w:color="000000"/>
              <w:bottom w:val="single" w:sz="12" w:space="0" w:color="000000"/>
              <w:right w:val="single" w:sz="8" w:space="0" w:color="000000"/>
            </w:tcBorders>
            <w:shd w:val="clear" w:color="auto" w:fill="F0F0F0"/>
            <w:tcMar>
              <w:top w:w="0" w:type="dxa"/>
              <w:left w:w="0" w:type="dxa"/>
              <w:bottom w:w="0" w:type="dxa"/>
              <w:right w:w="0" w:type="dxa"/>
            </w:tcMar>
            <w:vAlign w:val="center"/>
          </w:tcPr>
          <w:p w14:paraId="399A4576"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r>
              <w:rPr>
                <w:rFonts w:eastAsia="DejaVu Sans" w:cs="Arial"/>
                <w:b/>
                <w:color w:val="000000"/>
                <w:sz w:val="18"/>
                <w:szCs w:val="18"/>
              </w:rPr>
              <w:t>2028</w:t>
            </w:r>
          </w:p>
        </w:tc>
        <w:tc>
          <w:tcPr>
            <w:tcW w:w="1008" w:type="dxa"/>
            <w:tcBorders>
              <w:top w:val="single" w:sz="12" w:space="0" w:color="000000"/>
              <w:left w:val="single" w:sz="8" w:space="0" w:color="000000"/>
              <w:bottom w:val="single" w:sz="12" w:space="0" w:color="000000"/>
              <w:right w:val="single" w:sz="12" w:space="0" w:color="000000"/>
            </w:tcBorders>
            <w:shd w:val="clear" w:color="auto" w:fill="F0F0F0"/>
            <w:tcMar>
              <w:top w:w="0" w:type="dxa"/>
              <w:left w:w="0" w:type="dxa"/>
              <w:bottom w:w="0" w:type="dxa"/>
              <w:right w:w="0" w:type="dxa"/>
            </w:tcMar>
            <w:vAlign w:val="center"/>
          </w:tcPr>
          <w:p w14:paraId="6E679D13"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r>
              <w:rPr>
                <w:rFonts w:eastAsia="DejaVu Sans" w:cs="Arial"/>
                <w:b/>
                <w:color w:val="000000"/>
                <w:sz w:val="18"/>
                <w:szCs w:val="18"/>
              </w:rPr>
              <w:t>Total</w:t>
            </w:r>
          </w:p>
        </w:tc>
      </w:tr>
      <w:tr w14:paraId="65394C50" w14:textId="77777777">
        <w:trPr>
          <w:jc w:val="center"/>
        </w:trPr>
        <w:tc>
          <w:tcPr>
            <w:tcW w:w="720" w:type="dxa"/>
            <w:vMerge w:val="restart"/>
            <w:tcBorders>
              <w:top w:val="single" w:sz="12" w:space="0" w:color="000000"/>
              <w:left w:val="single" w:sz="12"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1B127A25"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r>
              <w:rPr>
                <w:rFonts w:eastAsia="DejaVu Sans" w:cs="Arial"/>
                <w:b/>
                <w:color w:val="000000"/>
                <w:sz w:val="18"/>
                <w:szCs w:val="18"/>
              </w:rPr>
              <w:t>AZ</w:t>
            </w:r>
          </w:p>
        </w:tc>
        <w:tc>
          <w:tcPr>
            <w:tcW w:w="460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EE49D22"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CAP System Conservation Agreements</w:t>
            </w:r>
          </w:p>
        </w:tc>
        <w:tc>
          <w:tcPr>
            <w:tcW w:w="100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36CE3F7"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98,800</w:t>
            </w:r>
          </w:p>
        </w:tc>
        <w:tc>
          <w:tcPr>
            <w:tcW w:w="100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3724090"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3,567</w:t>
            </w:r>
          </w:p>
        </w:tc>
        <w:tc>
          <w:tcPr>
            <w:tcW w:w="100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123B93D"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3,567</w:t>
            </w:r>
          </w:p>
        </w:tc>
        <w:tc>
          <w:tcPr>
            <w:tcW w:w="1008" w:type="dxa"/>
            <w:tcBorders>
              <w:top w:val="single" w:sz="12"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32864CB3"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105,934</w:t>
            </w:r>
          </w:p>
        </w:tc>
      </w:tr>
      <w:tr w14:paraId="4EF0BC14" w14:textId="77777777">
        <w:trPr>
          <w:jc w:val="center"/>
        </w:trPr>
        <w:tc>
          <w:tcPr>
            <w:tcW w:w="720" w:type="dxa"/>
            <w:vMerge/>
            <w:tcBorders>
              <w:top w:val="single" w:sz="12"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231785F"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1EE3B027"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Cathcart Farms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1FE98144"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61</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5C10D0EA"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0C2B783A"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5F5F5"/>
            <w:tcMar>
              <w:top w:w="0" w:type="dxa"/>
              <w:left w:w="0" w:type="dxa"/>
              <w:bottom w:w="0" w:type="dxa"/>
              <w:right w:w="0" w:type="dxa"/>
            </w:tcMar>
            <w:vAlign w:val="center"/>
          </w:tcPr>
          <w:p w14:paraId="7AB00D07"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61</w:t>
            </w:r>
          </w:p>
        </w:tc>
      </w:tr>
      <w:tr w14:paraId="3A79B44E" w14:textId="77777777">
        <w:trPr>
          <w:jc w:val="center"/>
        </w:trPr>
        <w:tc>
          <w:tcPr>
            <w:tcW w:w="720" w:type="dxa"/>
            <w:vMerge/>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46C32E5"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5E936AF"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Cibola Valley IDD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EE3B9F5"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2,329</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161B270"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C0742A3"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7D9439C8"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2,329</w:t>
            </w:r>
          </w:p>
        </w:tc>
      </w:tr>
      <w:tr w14:paraId="0EEB2BFF" w14:textId="77777777">
        <w:trPr>
          <w:jc w:val="center"/>
        </w:trPr>
        <w:tc>
          <w:tcPr>
            <w:tcW w:w="720" w:type="dxa"/>
            <w:vMerge/>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A06D78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2387ED14"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Fort McDowell Yavapai Nation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309EDC3A"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13,933</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59736D3E"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3C32CB00"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5F5F5"/>
            <w:tcMar>
              <w:top w:w="0" w:type="dxa"/>
              <w:left w:w="0" w:type="dxa"/>
              <w:bottom w:w="0" w:type="dxa"/>
              <w:right w:w="0" w:type="dxa"/>
            </w:tcMar>
            <w:vAlign w:val="center"/>
          </w:tcPr>
          <w:p w14:paraId="03A292EC"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13,933</w:t>
            </w:r>
          </w:p>
        </w:tc>
      </w:tr>
      <w:tr w14:paraId="1943892F" w14:textId="77777777">
        <w:trPr>
          <w:jc w:val="center"/>
        </w:trPr>
        <w:tc>
          <w:tcPr>
            <w:tcW w:w="720" w:type="dxa"/>
            <w:vMerge/>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F039B51"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86A6FC7"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Matador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64F2127"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3,240</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4B79262"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177A2CD"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75AD6D35"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3,240</w:t>
            </w:r>
          </w:p>
        </w:tc>
      </w:tr>
      <w:tr w14:paraId="35D3A89F" w14:textId="77777777">
        <w:trPr>
          <w:jc w:val="center"/>
        </w:trPr>
        <w:tc>
          <w:tcPr>
            <w:tcW w:w="720" w:type="dxa"/>
            <w:vMerge/>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EF29E86"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4CB85B56"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GRIC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5794D838"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24,775</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0437BE5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7,468</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698E4CA6"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7,468</w:t>
            </w:r>
          </w:p>
        </w:tc>
        <w:tc>
          <w:tcPr>
            <w:tcW w:w="1008" w:type="dxa"/>
            <w:tcBorders>
              <w:top w:val="single" w:sz="8" w:space="0" w:color="000000"/>
              <w:left w:val="single" w:sz="8" w:space="0" w:color="000000"/>
              <w:bottom w:val="single" w:sz="8" w:space="0" w:color="000000"/>
              <w:right w:val="single" w:sz="12" w:space="0" w:color="000000"/>
            </w:tcBorders>
            <w:shd w:val="clear" w:color="auto" w:fill="F5F5F5"/>
            <w:tcMar>
              <w:top w:w="0" w:type="dxa"/>
              <w:left w:w="0" w:type="dxa"/>
              <w:bottom w:w="0" w:type="dxa"/>
              <w:right w:w="0" w:type="dxa"/>
            </w:tcMar>
            <w:vAlign w:val="center"/>
          </w:tcPr>
          <w:p w14:paraId="131F60DD"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39,711</w:t>
            </w:r>
          </w:p>
        </w:tc>
      </w:tr>
      <w:tr w14:paraId="6F3086DB" w14:textId="77777777">
        <w:trPr>
          <w:jc w:val="center"/>
        </w:trPr>
        <w:tc>
          <w:tcPr>
            <w:tcW w:w="720" w:type="dxa"/>
            <w:vMerge/>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3F8A74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5369F52"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Hopi Tribe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B8AD3A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3,059</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7E740E0"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DB0D7F1"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04594173"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3,059</w:t>
            </w:r>
          </w:p>
        </w:tc>
      </w:tr>
      <w:tr w14:paraId="7217A129" w14:textId="77777777">
        <w:trPr>
          <w:jc w:val="center"/>
        </w:trPr>
        <w:tc>
          <w:tcPr>
            <w:tcW w:w="720" w:type="dxa"/>
            <w:vMerge/>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3B27499"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602FE0EE"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MVIDD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27D4F203"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14,184</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2F5537F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73515852"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5F5F5"/>
            <w:tcMar>
              <w:top w:w="0" w:type="dxa"/>
              <w:left w:w="0" w:type="dxa"/>
              <w:bottom w:w="0" w:type="dxa"/>
              <w:right w:w="0" w:type="dxa"/>
            </w:tcMar>
            <w:vAlign w:val="center"/>
          </w:tcPr>
          <w:p w14:paraId="12B62E37"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14,184</w:t>
            </w:r>
          </w:p>
        </w:tc>
      </w:tr>
      <w:tr w14:paraId="5E94D792" w14:textId="77777777">
        <w:trPr>
          <w:jc w:val="center"/>
        </w:trPr>
        <w:tc>
          <w:tcPr>
            <w:tcW w:w="720" w:type="dxa"/>
            <w:vMerge/>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F8E900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B38AA12"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San Carlos Apache Tribe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7E15797"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23,451</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AEA4128"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7D25467"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4AFCC816"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23,451</w:t>
            </w:r>
          </w:p>
        </w:tc>
      </w:tr>
      <w:tr w14:paraId="2D1F9AF5" w14:textId="77777777">
        <w:trPr>
          <w:jc w:val="center"/>
        </w:trPr>
        <w:tc>
          <w:tcPr>
            <w:tcW w:w="720" w:type="dxa"/>
            <w:vMerge/>
            <w:tcBorders>
              <w:top w:val="single" w:sz="8" w:space="0" w:color="000000"/>
              <w:left w:val="single" w:sz="12"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0F1EE53E"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12" w:space="0" w:color="000000"/>
              <w:right w:val="single" w:sz="8" w:space="0" w:color="000000"/>
            </w:tcBorders>
            <w:shd w:val="clear" w:color="auto" w:fill="F5F5F5"/>
            <w:tcMar>
              <w:top w:w="0" w:type="dxa"/>
              <w:left w:w="0" w:type="dxa"/>
              <w:bottom w:w="0" w:type="dxa"/>
              <w:right w:w="0" w:type="dxa"/>
            </w:tcMar>
            <w:vAlign w:val="center"/>
          </w:tcPr>
          <w:p w14:paraId="2F4D2FE6"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YMIDD System Conservation</w:t>
            </w:r>
          </w:p>
        </w:tc>
        <w:tc>
          <w:tcPr>
            <w:tcW w:w="1008" w:type="dxa"/>
            <w:tcBorders>
              <w:top w:val="single" w:sz="8" w:space="0" w:color="000000"/>
              <w:left w:val="single" w:sz="8" w:space="0" w:color="000000"/>
              <w:bottom w:val="single" w:sz="12" w:space="0" w:color="000000"/>
              <w:right w:val="single" w:sz="8" w:space="0" w:color="000000"/>
            </w:tcBorders>
            <w:shd w:val="clear" w:color="auto" w:fill="F5F5F5"/>
            <w:tcMar>
              <w:top w:w="0" w:type="dxa"/>
              <w:left w:w="0" w:type="dxa"/>
              <w:bottom w:w="0" w:type="dxa"/>
              <w:right w:w="0" w:type="dxa"/>
            </w:tcMar>
            <w:vAlign w:val="center"/>
          </w:tcPr>
          <w:p w14:paraId="3F33631F"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23,893</w:t>
            </w:r>
          </w:p>
        </w:tc>
        <w:tc>
          <w:tcPr>
            <w:tcW w:w="1008" w:type="dxa"/>
            <w:tcBorders>
              <w:top w:val="single" w:sz="8" w:space="0" w:color="000000"/>
              <w:left w:val="single" w:sz="8" w:space="0" w:color="000000"/>
              <w:bottom w:val="single" w:sz="12" w:space="0" w:color="000000"/>
              <w:right w:val="single" w:sz="8" w:space="0" w:color="000000"/>
            </w:tcBorders>
            <w:shd w:val="clear" w:color="auto" w:fill="F5F5F5"/>
            <w:tcMar>
              <w:top w:w="0" w:type="dxa"/>
              <w:left w:w="0" w:type="dxa"/>
              <w:bottom w:w="0" w:type="dxa"/>
              <w:right w:w="0" w:type="dxa"/>
            </w:tcMar>
            <w:vAlign w:val="center"/>
          </w:tcPr>
          <w:p w14:paraId="316E6A90"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12" w:space="0" w:color="000000"/>
              <w:right w:val="single" w:sz="8" w:space="0" w:color="000000"/>
            </w:tcBorders>
            <w:shd w:val="clear" w:color="auto" w:fill="F5F5F5"/>
            <w:tcMar>
              <w:top w:w="0" w:type="dxa"/>
              <w:left w:w="0" w:type="dxa"/>
              <w:bottom w:w="0" w:type="dxa"/>
              <w:right w:w="0" w:type="dxa"/>
            </w:tcMar>
            <w:vAlign w:val="center"/>
          </w:tcPr>
          <w:p w14:paraId="73FAE908"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12" w:space="0" w:color="000000"/>
              <w:right w:val="single" w:sz="12" w:space="0" w:color="000000"/>
            </w:tcBorders>
            <w:shd w:val="clear" w:color="auto" w:fill="F5F5F5"/>
            <w:tcMar>
              <w:top w:w="0" w:type="dxa"/>
              <w:left w:w="0" w:type="dxa"/>
              <w:bottom w:w="0" w:type="dxa"/>
              <w:right w:w="0" w:type="dxa"/>
            </w:tcMar>
            <w:vAlign w:val="center"/>
          </w:tcPr>
          <w:p w14:paraId="7BCAC61F"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23,893</w:t>
            </w:r>
          </w:p>
        </w:tc>
      </w:tr>
      <w:tr w14:paraId="67099BD5" w14:textId="77777777">
        <w:trPr>
          <w:jc w:val="center"/>
        </w:trPr>
        <w:tc>
          <w:tcPr>
            <w:tcW w:w="720" w:type="dxa"/>
            <w:vMerge w:val="restart"/>
            <w:tcBorders>
              <w:top w:val="single" w:sz="12" w:space="0" w:color="000000"/>
              <w:left w:val="single" w:sz="12"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3088810C"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r>
              <w:rPr>
                <w:rFonts w:eastAsia="DejaVu Sans" w:cs="Arial"/>
                <w:b/>
                <w:color w:val="000000"/>
                <w:sz w:val="18"/>
                <w:szCs w:val="18"/>
              </w:rPr>
              <w:t>CA</w:t>
            </w:r>
          </w:p>
        </w:tc>
        <w:tc>
          <w:tcPr>
            <w:tcW w:w="460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FCB6D3E"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Coachella Groundwater System Conservation</w:t>
            </w:r>
          </w:p>
        </w:tc>
        <w:tc>
          <w:tcPr>
            <w:tcW w:w="100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A2AD318"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35,000</w:t>
            </w:r>
          </w:p>
        </w:tc>
        <w:tc>
          <w:tcPr>
            <w:tcW w:w="100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7F10508"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45AB80F"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12"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7753DB1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35,000</w:t>
            </w:r>
          </w:p>
        </w:tc>
      </w:tr>
      <w:tr w14:paraId="7E276ED9" w14:textId="77777777">
        <w:trPr>
          <w:jc w:val="center"/>
        </w:trPr>
        <w:tc>
          <w:tcPr>
            <w:tcW w:w="720" w:type="dxa"/>
            <w:vMerge/>
            <w:tcBorders>
              <w:top w:val="single" w:sz="12"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6AC327C"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4719C5C5"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Coachella Ag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42C4E0D2"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6,511</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15F1B25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74540D45"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5F5F5"/>
            <w:tcMar>
              <w:top w:w="0" w:type="dxa"/>
              <w:left w:w="0" w:type="dxa"/>
              <w:bottom w:w="0" w:type="dxa"/>
              <w:right w:w="0" w:type="dxa"/>
            </w:tcMar>
            <w:vAlign w:val="center"/>
          </w:tcPr>
          <w:p w14:paraId="578E0374"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6,511</w:t>
            </w:r>
          </w:p>
        </w:tc>
      </w:tr>
      <w:tr w14:paraId="1EB84880" w14:textId="77777777">
        <w:trPr>
          <w:jc w:val="center"/>
        </w:trPr>
        <w:tc>
          <w:tcPr>
            <w:tcW w:w="720" w:type="dxa"/>
            <w:vMerge/>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9D488BF"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98EE26C"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IID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9913DA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265,000</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3F7D3D0"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585B4C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5575AE9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265,000</w:t>
            </w:r>
          </w:p>
        </w:tc>
      </w:tr>
      <w:tr w14:paraId="73972049" w14:textId="77777777">
        <w:trPr>
          <w:jc w:val="center"/>
        </w:trPr>
        <w:tc>
          <w:tcPr>
            <w:tcW w:w="720" w:type="dxa"/>
            <w:vMerge/>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EC22853"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1991B91E"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MWD ICS Creation</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067779E3"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308B9F9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7776C23D"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12,527</w:t>
            </w:r>
          </w:p>
        </w:tc>
        <w:tc>
          <w:tcPr>
            <w:tcW w:w="1008" w:type="dxa"/>
            <w:tcBorders>
              <w:top w:val="single" w:sz="8" w:space="0" w:color="000000"/>
              <w:left w:val="single" w:sz="8" w:space="0" w:color="000000"/>
              <w:bottom w:val="single" w:sz="8" w:space="0" w:color="000000"/>
              <w:right w:val="single" w:sz="12" w:space="0" w:color="000000"/>
            </w:tcBorders>
            <w:shd w:val="clear" w:color="auto" w:fill="F5F5F5"/>
            <w:tcMar>
              <w:top w:w="0" w:type="dxa"/>
              <w:left w:w="0" w:type="dxa"/>
              <w:bottom w:w="0" w:type="dxa"/>
              <w:right w:w="0" w:type="dxa"/>
            </w:tcMar>
            <w:vAlign w:val="center"/>
          </w:tcPr>
          <w:p w14:paraId="2206A290"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12,527</w:t>
            </w:r>
          </w:p>
        </w:tc>
      </w:tr>
      <w:tr w14:paraId="6B564C66" w14:textId="77777777">
        <w:trPr>
          <w:jc w:val="center"/>
        </w:trPr>
        <w:tc>
          <w:tcPr>
            <w:tcW w:w="720" w:type="dxa"/>
            <w:vMerge/>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7BE96A5"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5A5F0D0"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MWD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A14303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38B2B04"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CFDFB49"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369E209F"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r>
      <w:tr w14:paraId="20C8C829" w14:textId="77777777">
        <w:trPr>
          <w:jc w:val="center"/>
        </w:trPr>
        <w:tc>
          <w:tcPr>
            <w:tcW w:w="720" w:type="dxa"/>
            <w:vMerge/>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8BDE0AF"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57618EB0"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PVID-MWD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54ABCC1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119,338</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5DC1FD4D"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761F5679"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5F5F5"/>
            <w:tcMar>
              <w:top w:w="0" w:type="dxa"/>
              <w:left w:w="0" w:type="dxa"/>
              <w:bottom w:w="0" w:type="dxa"/>
              <w:right w:w="0" w:type="dxa"/>
            </w:tcMar>
            <w:vAlign w:val="center"/>
          </w:tcPr>
          <w:p w14:paraId="2B45688E"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119,338</w:t>
            </w:r>
          </w:p>
        </w:tc>
      </w:tr>
      <w:tr w14:paraId="06C40C7E" w14:textId="77777777">
        <w:trPr>
          <w:jc w:val="center"/>
        </w:trPr>
        <w:tc>
          <w:tcPr>
            <w:tcW w:w="720" w:type="dxa"/>
            <w:vMerge/>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1B385B0"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F1CA500"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Bard-MWD System Conservation</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8F2D8B4"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9,862</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77033DA"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6821075"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46BE1F50"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9,862</w:t>
            </w:r>
          </w:p>
        </w:tc>
      </w:tr>
      <w:tr w14:paraId="628EAD1E" w14:textId="77777777">
        <w:trPr>
          <w:jc w:val="center"/>
        </w:trPr>
        <w:tc>
          <w:tcPr>
            <w:tcW w:w="720" w:type="dxa"/>
            <w:vMerge/>
            <w:tcBorders>
              <w:top w:val="single" w:sz="8" w:space="0" w:color="000000"/>
              <w:left w:val="single" w:sz="12"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2A1FFBBE"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12" w:space="0" w:color="000000"/>
              <w:right w:val="single" w:sz="8" w:space="0" w:color="000000"/>
            </w:tcBorders>
            <w:shd w:val="clear" w:color="auto" w:fill="F5F5F5"/>
            <w:tcMar>
              <w:top w:w="0" w:type="dxa"/>
              <w:left w:w="0" w:type="dxa"/>
              <w:bottom w:w="0" w:type="dxa"/>
              <w:right w:w="0" w:type="dxa"/>
            </w:tcMar>
            <w:vAlign w:val="center"/>
          </w:tcPr>
          <w:p w14:paraId="280963D1"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Quechan Indian Tribe-MWD System Conservation</w:t>
            </w:r>
          </w:p>
        </w:tc>
        <w:tc>
          <w:tcPr>
            <w:tcW w:w="1008" w:type="dxa"/>
            <w:tcBorders>
              <w:top w:val="single" w:sz="8" w:space="0" w:color="000000"/>
              <w:left w:val="single" w:sz="8" w:space="0" w:color="000000"/>
              <w:bottom w:val="single" w:sz="12" w:space="0" w:color="000000"/>
              <w:right w:val="single" w:sz="8" w:space="0" w:color="000000"/>
            </w:tcBorders>
            <w:shd w:val="clear" w:color="auto" w:fill="F5F5F5"/>
            <w:tcMar>
              <w:top w:w="0" w:type="dxa"/>
              <w:left w:w="0" w:type="dxa"/>
              <w:bottom w:w="0" w:type="dxa"/>
              <w:right w:w="0" w:type="dxa"/>
            </w:tcMar>
            <w:vAlign w:val="center"/>
          </w:tcPr>
          <w:p w14:paraId="0B4720D2"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13,000</w:t>
            </w:r>
          </w:p>
        </w:tc>
        <w:tc>
          <w:tcPr>
            <w:tcW w:w="1008" w:type="dxa"/>
            <w:tcBorders>
              <w:top w:val="single" w:sz="8" w:space="0" w:color="000000"/>
              <w:left w:val="single" w:sz="8" w:space="0" w:color="000000"/>
              <w:bottom w:val="single" w:sz="12" w:space="0" w:color="000000"/>
              <w:right w:val="single" w:sz="8" w:space="0" w:color="000000"/>
            </w:tcBorders>
            <w:shd w:val="clear" w:color="auto" w:fill="F5F5F5"/>
            <w:tcMar>
              <w:top w:w="0" w:type="dxa"/>
              <w:left w:w="0" w:type="dxa"/>
              <w:bottom w:w="0" w:type="dxa"/>
              <w:right w:w="0" w:type="dxa"/>
            </w:tcMar>
            <w:vAlign w:val="center"/>
          </w:tcPr>
          <w:p w14:paraId="42C2CE3D"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12" w:space="0" w:color="000000"/>
              <w:right w:val="single" w:sz="8" w:space="0" w:color="000000"/>
            </w:tcBorders>
            <w:shd w:val="clear" w:color="auto" w:fill="F5F5F5"/>
            <w:tcMar>
              <w:top w:w="0" w:type="dxa"/>
              <w:left w:w="0" w:type="dxa"/>
              <w:bottom w:w="0" w:type="dxa"/>
              <w:right w:w="0" w:type="dxa"/>
            </w:tcMar>
            <w:vAlign w:val="center"/>
          </w:tcPr>
          <w:p w14:paraId="466ECB9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12" w:space="0" w:color="000000"/>
              <w:right w:val="single" w:sz="12" w:space="0" w:color="000000"/>
            </w:tcBorders>
            <w:shd w:val="clear" w:color="auto" w:fill="F5F5F5"/>
            <w:tcMar>
              <w:top w:w="0" w:type="dxa"/>
              <w:left w:w="0" w:type="dxa"/>
              <w:bottom w:w="0" w:type="dxa"/>
              <w:right w:w="0" w:type="dxa"/>
            </w:tcMar>
            <w:vAlign w:val="center"/>
          </w:tcPr>
          <w:p w14:paraId="2385E429"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13,000</w:t>
            </w:r>
          </w:p>
        </w:tc>
      </w:tr>
      <w:tr w14:paraId="4BF26381" w14:textId="77777777">
        <w:trPr>
          <w:jc w:val="center"/>
        </w:trPr>
        <w:tc>
          <w:tcPr>
            <w:tcW w:w="720" w:type="dxa"/>
            <w:vMerge w:val="restart"/>
            <w:tcBorders>
              <w:top w:val="single" w:sz="12" w:space="0" w:color="000000"/>
              <w:left w:val="single" w:sz="12"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169448E5"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r>
              <w:rPr>
                <w:rFonts w:eastAsia="DejaVu Sans" w:cs="Arial"/>
                <w:b/>
                <w:color w:val="000000"/>
                <w:sz w:val="18"/>
                <w:szCs w:val="18"/>
              </w:rPr>
              <w:t>NV</w:t>
            </w:r>
          </w:p>
        </w:tc>
        <w:tc>
          <w:tcPr>
            <w:tcW w:w="460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1BD295F"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SNWA System Conservation Water</w:t>
            </w:r>
          </w:p>
        </w:tc>
        <w:tc>
          <w:tcPr>
            <w:tcW w:w="100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0E8F37B"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89,000</w:t>
            </w:r>
          </w:p>
        </w:tc>
        <w:tc>
          <w:tcPr>
            <w:tcW w:w="100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3D1AAF2"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D97EA04"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12"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47F98F11"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89,000</w:t>
            </w:r>
          </w:p>
        </w:tc>
      </w:tr>
      <w:tr w14:paraId="10DC47F9" w14:textId="77777777">
        <w:trPr>
          <w:jc w:val="center"/>
        </w:trPr>
        <w:tc>
          <w:tcPr>
            <w:tcW w:w="720" w:type="dxa"/>
            <w:vMerge/>
            <w:tcBorders>
              <w:top w:val="single" w:sz="12"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CE02E05"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2F524DB5"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SNWA ICS Creation</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037BF512"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45755E9F"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53,095</w:t>
            </w:r>
          </w:p>
        </w:tc>
        <w:tc>
          <w:tcPr>
            <w:tcW w:w="1008" w:type="dxa"/>
            <w:tcBorders>
              <w:top w:val="single" w:sz="8"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42BBE49C"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8" w:space="0" w:color="000000"/>
              <w:left w:val="single" w:sz="8" w:space="0" w:color="000000"/>
              <w:bottom w:val="single" w:sz="8" w:space="0" w:color="000000"/>
              <w:right w:val="single" w:sz="12" w:space="0" w:color="000000"/>
            </w:tcBorders>
            <w:shd w:val="clear" w:color="auto" w:fill="F5F5F5"/>
            <w:tcMar>
              <w:top w:w="0" w:type="dxa"/>
              <w:left w:w="0" w:type="dxa"/>
              <w:bottom w:w="0" w:type="dxa"/>
              <w:right w:w="0" w:type="dxa"/>
            </w:tcMar>
            <w:vAlign w:val="center"/>
          </w:tcPr>
          <w:p w14:paraId="3D3E0F43"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53,095</w:t>
            </w:r>
          </w:p>
        </w:tc>
      </w:tr>
      <w:tr w14:paraId="37BE1587" w14:textId="77777777">
        <w:trPr>
          <w:jc w:val="center"/>
        </w:trPr>
        <w:tc>
          <w:tcPr>
            <w:tcW w:w="720" w:type="dxa"/>
            <w:vMerge/>
            <w:tcBorders>
              <w:top w:val="single" w:sz="8" w:space="0" w:color="000000"/>
              <w:left w:val="single" w:sz="12"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6DC1CBA2"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3EADFE30"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SNWA Tributary Conservation</w:t>
            </w:r>
          </w:p>
        </w:tc>
        <w:tc>
          <w:tcPr>
            <w:tcW w:w="100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33FD467D"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35,000</w:t>
            </w:r>
          </w:p>
        </w:tc>
        <w:tc>
          <w:tcPr>
            <w:tcW w:w="100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1685F517"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35,000</w:t>
            </w:r>
          </w:p>
        </w:tc>
        <w:tc>
          <w:tcPr>
            <w:tcW w:w="100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2C18385E"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35,000</w:t>
            </w:r>
          </w:p>
        </w:tc>
        <w:tc>
          <w:tcPr>
            <w:tcW w:w="1008" w:type="dxa"/>
            <w:tcBorders>
              <w:top w:val="single" w:sz="8" w:space="0" w:color="000000"/>
              <w:left w:val="single" w:sz="8"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8372CCA"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105,000</w:t>
            </w:r>
          </w:p>
        </w:tc>
      </w:tr>
      <w:tr w14:paraId="0BC7A9EE" w14:textId="77777777">
        <w:trPr>
          <w:jc w:val="center"/>
        </w:trPr>
        <w:tc>
          <w:tcPr>
            <w:tcW w:w="720" w:type="dxa"/>
            <w:vMerge w:val="restart"/>
            <w:tcBorders>
              <w:top w:val="single" w:sz="12" w:space="0" w:color="000000"/>
              <w:left w:val="single" w:sz="12"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124CB536"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r>
              <w:rPr>
                <w:rFonts w:eastAsia="DejaVu Sans" w:cs="Arial"/>
                <w:b/>
                <w:color w:val="000000"/>
                <w:sz w:val="18"/>
                <w:szCs w:val="18"/>
              </w:rPr>
              <w:t>Other</w:t>
            </w:r>
          </w:p>
        </w:tc>
        <w:tc>
          <w:tcPr>
            <w:tcW w:w="4608" w:type="dxa"/>
            <w:tcBorders>
              <w:top w:val="single" w:sz="12"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23D091F0"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242 Wellfield Additional Pumping Agreement</w:t>
            </w:r>
          </w:p>
        </w:tc>
        <w:tc>
          <w:tcPr>
            <w:tcW w:w="1008" w:type="dxa"/>
            <w:tcBorders>
              <w:top w:val="single" w:sz="12"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137B7C4E"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45,000</w:t>
            </w:r>
          </w:p>
        </w:tc>
        <w:tc>
          <w:tcPr>
            <w:tcW w:w="1008" w:type="dxa"/>
            <w:tcBorders>
              <w:top w:val="single" w:sz="12"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035C8731"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12"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0FBB27E3"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0</w:t>
            </w:r>
          </w:p>
        </w:tc>
        <w:tc>
          <w:tcPr>
            <w:tcW w:w="1008" w:type="dxa"/>
            <w:tcBorders>
              <w:top w:val="single" w:sz="12" w:space="0" w:color="000000"/>
              <w:left w:val="single" w:sz="8" w:space="0" w:color="000000"/>
              <w:bottom w:val="single" w:sz="8" w:space="0" w:color="000000"/>
              <w:right w:val="single" w:sz="12" w:space="0" w:color="000000"/>
            </w:tcBorders>
            <w:shd w:val="clear" w:color="auto" w:fill="F5F5F5"/>
            <w:tcMar>
              <w:top w:w="0" w:type="dxa"/>
              <w:left w:w="0" w:type="dxa"/>
              <w:bottom w:w="0" w:type="dxa"/>
              <w:right w:w="0" w:type="dxa"/>
            </w:tcMar>
            <w:vAlign w:val="center"/>
          </w:tcPr>
          <w:p w14:paraId="19F5F513"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45,000</w:t>
            </w:r>
          </w:p>
        </w:tc>
      </w:tr>
      <w:tr w14:paraId="55C41110" w14:textId="77777777">
        <w:trPr>
          <w:jc w:val="center"/>
        </w:trPr>
        <w:tc>
          <w:tcPr>
            <w:tcW w:w="720" w:type="dxa"/>
            <w:vMerge/>
            <w:tcBorders>
              <w:top w:val="single" w:sz="12" w:space="0" w:color="000000"/>
              <w:left w:val="single" w:sz="12"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05CEC2A4"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680DC360"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color w:val="000000"/>
                <w:sz w:val="18"/>
                <w:szCs w:val="18"/>
              </w:rPr>
            </w:pPr>
            <w:r>
              <w:rPr>
                <w:rFonts w:eastAsia="DejaVu Sans" w:cs="Arial"/>
                <w:color w:val="000000"/>
                <w:sz w:val="18"/>
                <w:szCs w:val="18"/>
              </w:rPr>
              <w:t>PSCP</w:t>
            </w:r>
          </w:p>
        </w:tc>
        <w:tc>
          <w:tcPr>
            <w:tcW w:w="100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730D23BF"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2,622</w:t>
            </w:r>
          </w:p>
        </w:tc>
        <w:tc>
          <w:tcPr>
            <w:tcW w:w="100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5A21497A"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145</w:t>
            </w:r>
          </w:p>
        </w:tc>
        <w:tc>
          <w:tcPr>
            <w:tcW w:w="100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4A0CA729"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145</w:t>
            </w:r>
          </w:p>
        </w:tc>
        <w:tc>
          <w:tcPr>
            <w:tcW w:w="1008" w:type="dxa"/>
            <w:tcBorders>
              <w:top w:val="single" w:sz="8" w:space="0" w:color="000000"/>
              <w:left w:val="single" w:sz="8"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6275A191"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color w:val="000000"/>
                <w:sz w:val="18"/>
                <w:szCs w:val="18"/>
              </w:rPr>
            </w:pPr>
            <w:r>
              <w:rPr>
                <w:rFonts w:eastAsia="DejaVu Sans" w:cs="Arial"/>
                <w:color w:val="000000"/>
                <w:sz w:val="18"/>
                <w:szCs w:val="18"/>
              </w:rPr>
              <w:t>2,912</w:t>
            </w:r>
          </w:p>
        </w:tc>
      </w:tr>
      <w:tr w14:paraId="0EA7EC2E" w14:textId="77777777">
        <w:trPr>
          <w:jc w:val="center"/>
        </w:trPr>
        <w:tc>
          <w:tcPr>
            <w:tcW w:w="720" w:type="dxa"/>
            <w:vMerge w:val="restart"/>
            <w:tcBorders>
              <w:top w:val="single" w:sz="12" w:space="0" w:color="000000"/>
              <w:left w:val="single" w:sz="12"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5DCF8766"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12"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7D8A462B"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b/>
                <w:color w:val="000000"/>
                <w:sz w:val="18"/>
                <w:szCs w:val="18"/>
              </w:rPr>
            </w:pPr>
            <w:r>
              <w:rPr>
                <w:rFonts w:eastAsia="DejaVu Sans" w:cs="Arial"/>
                <w:b/>
                <w:color w:val="000000"/>
                <w:sz w:val="18"/>
                <w:szCs w:val="18"/>
              </w:rPr>
              <w:t>Annual Total</w:t>
            </w:r>
          </w:p>
        </w:tc>
        <w:tc>
          <w:tcPr>
            <w:tcW w:w="1008" w:type="dxa"/>
            <w:tcBorders>
              <w:top w:val="single" w:sz="12"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3CB2D1F6"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b/>
                <w:color w:val="000000"/>
                <w:sz w:val="18"/>
                <w:szCs w:val="18"/>
              </w:rPr>
            </w:pPr>
            <w:r>
              <w:rPr>
                <w:rFonts w:eastAsia="DejaVu Sans" w:cs="Arial"/>
                <w:b/>
                <w:color w:val="000000"/>
                <w:sz w:val="18"/>
                <w:szCs w:val="18"/>
              </w:rPr>
              <w:t>828,058</w:t>
            </w:r>
          </w:p>
        </w:tc>
        <w:tc>
          <w:tcPr>
            <w:tcW w:w="1008" w:type="dxa"/>
            <w:tcBorders>
              <w:top w:val="single" w:sz="12"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332DAB67"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b/>
                <w:color w:val="000000"/>
                <w:sz w:val="18"/>
                <w:szCs w:val="18"/>
              </w:rPr>
            </w:pPr>
            <w:r>
              <w:rPr>
                <w:rFonts w:eastAsia="DejaVu Sans" w:cs="Arial"/>
                <w:b/>
                <w:color w:val="000000"/>
                <w:sz w:val="18"/>
                <w:szCs w:val="18"/>
              </w:rPr>
              <w:t>99,275</w:t>
            </w:r>
          </w:p>
        </w:tc>
        <w:tc>
          <w:tcPr>
            <w:tcW w:w="1008" w:type="dxa"/>
            <w:tcBorders>
              <w:top w:val="single" w:sz="12" w:space="0" w:color="000000"/>
              <w:left w:val="single" w:sz="8" w:space="0" w:color="000000"/>
              <w:bottom w:val="single" w:sz="8" w:space="0" w:color="000000"/>
              <w:right w:val="single" w:sz="8" w:space="0" w:color="000000"/>
            </w:tcBorders>
            <w:shd w:val="clear" w:color="auto" w:fill="F5F5F5"/>
            <w:tcMar>
              <w:top w:w="0" w:type="dxa"/>
              <w:left w:w="0" w:type="dxa"/>
              <w:bottom w:w="0" w:type="dxa"/>
              <w:right w:w="0" w:type="dxa"/>
            </w:tcMar>
            <w:vAlign w:val="center"/>
          </w:tcPr>
          <w:p w14:paraId="7A154A82" w14:textId="0DC6FFAD">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b/>
                <w:color w:val="000000"/>
                <w:sz w:val="18"/>
                <w:szCs w:val="18"/>
              </w:rPr>
            </w:pPr>
            <w:r>
              <w:rPr>
                <w:rFonts w:eastAsia="DejaVu Sans" w:cs="Arial"/>
                <w:b/>
                <w:color w:val="000000"/>
                <w:sz w:val="18"/>
                <w:szCs w:val="18"/>
              </w:rPr>
              <w:t>58,70</w:t>
            </w:r>
            <w:r>
              <w:rPr>
                <w:rFonts w:eastAsia="DejaVu Sans" w:cs="Arial"/>
                <w:b/>
                <w:color w:val="000000"/>
                <w:sz w:val="18"/>
                <w:szCs w:val="18"/>
              </w:rPr>
              <w:t>6</w:t>
            </w:r>
          </w:p>
        </w:tc>
        <w:tc>
          <w:tcPr>
            <w:tcW w:w="1008" w:type="dxa"/>
            <w:tcBorders>
              <w:top w:val="single" w:sz="12" w:space="0" w:color="000000"/>
              <w:left w:val="single" w:sz="8" w:space="0" w:color="000000"/>
              <w:bottom w:val="single" w:sz="8" w:space="0" w:color="000000"/>
              <w:right w:val="single" w:sz="12" w:space="0" w:color="000000"/>
            </w:tcBorders>
            <w:shd w:val="clear" w:color="auto" w:fill="F5F5F5"/>
            <w:tcMar>
              <w:top w:w="0" w:type="dxa"/>
              <w:left w:w="0" w:type="dxa"/>
              <w:bottom w:w="0" w:type="dxa"/>
              <w:right w:w="0" w:type="dxa"/>
            </w:tcMar>
            <w:vAlign w:val="center"/>
          </w:tcPr>
          <w:p w14:paraId="1DD850FE" w14:textId="264B42F3">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b/>
                <w:color w:val="000000"/>
                <w:sz w:val="18"/>
                <w:szCs w:val="18"/>
              </w:rPr>
            </w:pPr>
            <w:r>
              <w:rPr>
                <w:rFonts w:eastAsia="DejaVu Sans" w:cs="Arial"/>
                <w:b/>
                <w:color w:val="000000"/>
                <w:sz w:val="18"/>
                <w:szCs w:val="18"/>
              </w:rPr>
              <w:t>986,0</w:t>
            </w:r>
            <w:r>
              <w:rPr>
                <w:rFonts w:eastAsia="DejaVu Sans" w:cs="Arial"/>
                <w:b/>
                <w:color w:val="000000"/>
                <w:sz w:val="18"/>
                <w:szCs w:val="18"/>
              </w:rPr>
              <w:t>39</w:t>
            </w:r>
          </w:p>
        </w:tc>
      </w:tr>
      <w:tr w14:paraId="7C496AFA" w14:textId="77777777">
        <w:trPr>
          <w:jc w:val="center"/>
        </w:trPr>
        <w:tc>
          <w:tcPr>
            <w:tcW w:w="720" w:type="dxa"/>
            <w:vMerge/>
            <w:tcBorders>
              <w:top w:val="single" w:sz="12" w:space="0" w:color="000000"/>
              <w:left w:val="single" w:sz="12"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5B1C5443"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center"/>
              <w:rPr>
                <w:rFonts w:eastAsia="DejaVu Sans" w:cs="Arial"/>
                <w:b/>
                <w:color w:val="000000"/>
                <w:sz w:val="18"/>
                <w:szCs w:val="18"/>
              </w:rPr>
            </w:pPr>
          </w:p>
        </w:tc>
        <w:tc>
          <w:tcPr>
            <w:tcW w:w="460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68D966FA" w14:textId="77777777">
            <w:pPr>
              <w:pBdr>
                <w:top w:val="none" w:sz="0" w:space="0" w:color="000000"/>
                <w:left w:val="none" w:sz="0" w:space="0" w:color="000000"/>
                <w:bottom w:val="none" w:sz="0" w:space="0" w:color="000000"/>
                <w:right w:val="none" w:sz="0" w:space="0" w:color="000000"/>
              </w:pBdr>
              <w:spacing w:before="40" w:after="40" w:line="288" w:lineRule="auto"/>
              <w:ind w:left="80" w:right="80"/>
              <w:rPr>
                <w:rFonts w:eastAsia="DejaVu Sans" w:cs="Arial"/>
                <w:b/>
                <w:color w:val="000000"/>
                <w:sz w:val="18"/>
                <w:szCs w:val="18"/>
              </w:rPr>
            </w:pPr>
            <w:r>
              <w:rPr>
                <w:rFonts w:eastAsia="DejaVu Sans" w:cs="Arial"/>
                <w:b/>
                <w:color w:val="000000"/>
                <w:sz w:val="18"/>
                <w:szCs w:val="18"/>
              </w:rPr>
              <w:t>Cumulative Total</w:t>
            </w:r>
          </w:p>
        </w:tc>
        <w:tc>
          <w:tcPr>
            <w:tcW w:w="100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77508073"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b/>
                <w:color w:val="000000"/>
                <w:sz w:val="18"/>
                <w:szCs w:val="18"/>
              </w:rPr>
            </w:pPr>
            <w:r>
              <w:rPr>
                <w:rFonts w:eastAsia="DejaVu Sans" w:cs="Arial"/>
                <w:b/>
                <w:color w:val="000000"/>
                <w:sz w:val="18"/>
                <w:szCs w:val="18"/>
              </w:rPr>
              <w:t>828,058</w:t>
            </w:r>
          </w:p>
        </w:tc>
        <w:tc>
          <w:tcPr>
            <w:tcW w:w="100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665CB0BD"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b/>
                <w:color w:val="000000"/>
                <w:sz w:val="18"/>
                <w:szCs w:val="18"/>
              </w:rPr>
            </w:pPr>
            <w:r>
              <w:rPr>
                <w:rFonts w:eastAsia="DejaVu Sans" w:cs="Arial"/>
                <w:b/>
                <w:color w:val="000000"/>
                <w:sz w:val="18"/>
                <w:szCs w:val="18"/>
              </w:rPr>
              <w:t>927,333</w:t>
            </w:r>
          </w:p>
        </w:tc>
        <w:tc>
          <w:tcPr>
            <w:tcW w:w="100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0CF53155" w14:textId="30543979">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b/>
                <w:color w:val="000000"/>
                <w:sz w:val="18"/>
                <w:szCs w:val="18"/>
              </w:rPr>
            </w:pPr>
            <w:r>
              <w:rPr>
                <w:rFonts w:eastAsia="DejaVu Sans" w:cs="Arial"/>
                <w:b/>
                <w:color w:val="000000"/>
                <w:sz w:val="18"/>
                <w:szCs w:val="18"/>
              </w:rPr>
              <w:t>986,0</w:t>
            </w:r>
            <w:r>
              <w:rPr>
                <w:rFonts w:eastAsia="DejaVu Sans" w:cs="Arial"/>
                <w:b/>
                <w:color w:val="000000"/>
                <w:sz w:val="18"/>
                <w:szCs w:val="18"/>
              </w:rPr>
              <w:t>39</w:t>
            </w:r>
          </w:p>
        </w:tc>
        <w:tc>
          <w:tcPr>
            <w:tcW w:w="1008" w:type="dxa"/>
            <w:tcBorders>
              <w:top w:val="single" w:sz="8" w:space="0" w:color="000000"/>
              <w:left w:val="single" w:sz="8"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5724838" w14:textId="77777777">
            <w:pPr>
              <w:pBdr>
                <w:top w:val="none" w:sz="0" w:space="0" w:color="000000"/>
                <w:left w:val="none" w:sz="0" w:space="0" w:color="000000"/>
                <w:bottom w:val="none" w:sz="0" w:space="0" w:color="000000"/>
                <w:right w:val="none" w:sz="0" w:space="0" w:color="000000"/>
              </w:pBdr>
              <w:spacing w:before="40" w:after="40" w:line="288" w:lineRule="auto"/>
              <w:ind w:left="80" w:right="80"/>
              <w:jc w:val="right"/>
              <w:rPr>
                <w:rFonts w:eastAsia="DejaVu Sans" w:cs="Arial"/>
                <w:b/>
                <w:color w:val="000000"/>
                <w:sz w:val="18"/>
                <w:szCs w:val="18"/>
              </w:rPr>
            </w:pPr>
          </w:p>
        </w:tc>
      </w:tr>
    </w:tbl>
    <w:p w14:paraId="2799E279" w14:textId="77777777">
      <w:r>
        <w:br/>
      </w:r>
    </w:p>
    <w:tbl>
      <w:tblPr>
        <w:tblW w:w="0" w:type="auto"/>
        <w:jc w:val="center"/>
        <w:tblLayout w:type="fixed"/>
        <w:tblLook w:val="0420" w:firstRow="1" w:lastRow="0" w:firstColumn="0" w:lastColumn="0" w:noHBand="0" w:noVBand="1"/>
      </w:tblPr>
      <w:tblGrid>
        <w:gridCol w:w="2274"/>
        <w:gridCol w:w="1268"/>
        <w:gridCol w:w="1268"/>
        <w:gridCol w:w="1623"/>
        <w:gridCol w:w="1483"/>
      </w:tblGrid>
      <w:tr w14:paraId="25B5D128" w14:textId="77777777">
        <w:trPr>
          <w:tblHeader/>
          <w:jc w:val="center"/>
        </w:trPr>
        <w:tc>
          <w:tcPr>
            <w:tcW w:w="2274" w:type="dxa"/>
            <w:tcBorders>
              <w:top w:val="single" w:sz="12" w:space="0" w:color="000000"/>
              <w:left w:val="single" w:sz="12"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5591F3ED"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State</w:t>
            </w:r>
          </w:p>
        </w:tc>
        <w:tc>
          <w:tcPr>
            <w:tcW w:w="1268" w:type="dxa"/>
            <w:tcBorders>
              <w:top w:val="single" w:sz="12"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5B47BF3C"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2026</w:t>
            </w:r>
          </w:p>
        </w:tc>
        <w:tc>
          <w:tcPr>
            <w:tcW w:w="1268" w:type="dxa"/>
            <w:tcBorders>
              <w:top w:val="single" w:sz="12"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6A804F77"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2027</w:t>
            </w:r>
          </w:p>
        </w:tc>
        <w:tc>
          <w:tcPr>
            <w:tcW w:w="1623" w:type="dxa"/>
            <w:tcBorders>
              <w:top w:val="single" w:sz="12"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57756CEF"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2028</w:t>
            </w:r>
          </w:p>
        </w:tc>
        <w:tc>
          <w:tcPr>
            <w:tcW w:w="1483" w:type="dxa"/>
            <w:tcBorders>
              <w:top w:val="single" w:sz="12" w:space="0" w:color="000000"/>
              <w:left w:val="single" w:sz="8"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EE0EB75"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Total</w:t>
            </w:r>
          </w:p>
        </w:tc>
      </w:tr>
      <w:tr w14:paraId="7AC33451" w14:textId="77777777">
        <w:trPr>
          <w:jc w:val="center"/>
        </w:trPr>
        <w:tc>
          <w:tcPr>
            <w:tcW w:w="2274" w:type="dxa"/>
            <w:tcBorders>
              <w:top w:val="single" w:sz="12"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B25A35A"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AZ</w:t>
            </w:r>
          </w:p>
        </w:tc>
        <w:tc>
          <w:tcPr>
            <w:tcW w:w="126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DF899E5"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color w:val="000000"/>
                <w:szCs w:val="20"/>
              </w:rPr>
            </w:pPr>
            <w:r>
              <w:rPr>
                <w:rFonts w:eastAsia="DejaVu Sans" w:cs="Arial"/>
                <w:color w:val="000000"/>
                <w:szCs w:val="20"/>
              </w:rPr>
              <w:t>255,202</w:t>
            </w:r>
          </w:p>
        </w:tc>
        <w:tc>
          <w:tcPr>
            <w:tcW w:w="1268"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534DD1A"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color w:val="000000"/>
                <w:szCs w:val="20"/>
              </w:rPr>
            </w:pPr>
            <w:r>
              <w:rPr>
                <w:rFonts w:eastAsia="DejaVu Sans" w:cs="Arial"/>
                <w:color w:val="000000"/>
                <w:szCs w:val="20"/>
              </w:rPr>
              <w:t>11,035</w:t>
            </w:r>
          </w:p>
        </w:tc>
        <w:tc>
          <w:tcPr>
            <w:tcW w:w="1623" w:type="dxa"/>
            <w:tcBorders>
              <w:top w:val="single" w:sz="12"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813127A" w14:textId="2A2D9E9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color w:val="000000"/>
                <w:szCs w:val="20"/>
              </w:rPr>
            </w:pPr>
            <w:r>
              <w:rPr>
                <w:rFonts w:eastAsia="DejaVu Sans" w:cs="Arial"/>
                <w:color w:val="000000"/>
                <w:szCs w:val="20"/>
              </w:rPr>
              <w:t>11,035</w:t>
            </w:r>
          </w:p>
        </w:tc>
        <w:tc>
          <w:tcPr>
            <w:tcW w:w="1483" w:type="dxa"/>
            <w:tcBorders>
              <w:top w:val="single" w:sz="12"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2EB8989B" w14:textId="3329D335">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color w:val="000000"/>
                <w:szCs w:val="20"/>
              </w:rPr>
            </w:pPr>
            <w:r>
              <w:rPr>
                <w:rFonts w:eastAsia="DejaVu Sans" w:cs="Arial"/>
                <w:color w:val="000000"/>
                <w:szCs w:val="20"/>
              </w:rPr>
              <w:t>277,272</w:t>
            </w:r>
          </w:p>
        </w:tc>
      </w:tr>
      <w:tr w14:paraId="27487A9F" w14:textId="77777777">
        <w:trPr>
          <w:jc w:val="center"/>
        </w:trPr>
        <w:tc>
          <w:tcPr>
            <w:tcW w:w="2274" w:type="dxa"/>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DBB089B"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CA</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B45DB7A"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color w:val="000000"/>
                <w:szCs w:val="20"/>
              </w:rPr>
            </w:pPr>
            <w:r>
              <w:rPr>
                <w:rFonts w:eastAsia="DejaVu Sans" w:cs="Arial"/>
                <w:color w:val="000000"/>
                <w:szCs w:val="20"/>
              </w:rPr>
              <w:t>448,856</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201C7DD"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color w:val="000000"/>
                <w:szCs w:val="20"/>
              </w:rPr>
            </w:pPr>
            <w:r>
              <w:rPr>
                <w:rFonts w:eastAsia="DejaVu Sans" w:cs="Arial"/>
                <w:color w:val="000000"/>
                <w:szCs w:val="20"/>
              </w:rPr>
              <w:t>145</w:t>
            </w:r>
          </w:p>
        </w:tc>
        <w:tc>
          <w:tcPr>
            <w:tcW w:w="162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95D3C87" w14:textId="6698759D">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color w:val="000000"/>
                <w:szCs w:val="20"/>
              </w:rPr>
            </w:pPr>
            <w:r>
              <w:rPr>
                <w:rFonts w:eastAsia="DejaVu Sans" w:cs="Arial"/>
                <w:color w:val="000000"/>
                <w:szCs w:val="20"/>
              </w:rPr>
              <w:t>12,671</w:t>
            </w:r>
          </w:p>
        </w:tc>
        <w:tc>
          <w:tcPr>
            <w:tcW w:w="1483" w:type="dxa"/>
            <w:tcBorders>
              <w:top w:val="single" w:sz="8"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68E7FFAD" w14:textId="01E4EE51">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color w:val="000000"/>
                <w:szCs w:val="20"/>
              </w:rPr>
            </w:pPr>
            <w:r>
              <w:rPr>
                <w:rFonts w:eastAsia="DejaVu Sans" w:cs="Arial"/>
                <w:color w:val="000000"/>
                <w:szCs w:val="20"/>
              </w:rPr>
              <w:t>461,672</w:t>
            </w:r>
          </w:p>
        </w:tc>
      </w:tr>
      <w:tr w14:paraId="2888DD36" w14:textId="77777777">
        <w:trPr>
          <w:jc w:val="center"/>
        </w:trPr>
        <w:tc>
          <w:tcPr>
            <w:tcW w:w="2274" w:type="dxa"/>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294F962"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NV</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82FF35A"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color w:val="000000"/>
                <w:szCs w:val="20"/>
              </w:rPr>
            </w:pPr>
            <w:r>
              <w:rPr>
                <w:rFonts w:eastAsia="DejaVu Sans" w:cs="Arial"/>
                <w:color w:val="000000"/>
                <w:szCs w:val="20"/>
              </w:rPr>
              <w:t>124,000</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29799DC"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color w:val="000000"/>
                <w:szCs w:val="20"/>
              </w:rPr>
            </w:pPr>
            <w:r>
              <w:rPr>
                <w:rFonts w:eastAsia="DejaVu Sans" w:cs="Arial"/>
                <w:color w:val="000000"/>
                <w:szCs w:val="20"/>
              </w:rPr>
              <w:t>88,095</w:t>
            </w:r>
          </w:p>
        </w:tc>
        <w:tc>
          <w:tcPr>
            <w:tcW w:w="162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CF688C7" w14:textId="46974A94">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color w:val="000000"/>
                <w:szCs w:val="20"/>
              </w:rPr>
            </w:pPr>
            <w:r>
              <w:rPr>
                <w:rFonts w:eastAsia="DejaVu Sans" w:cs="Arial"/>
                <w:color w:val="000000"/>
                <w:szCs w:val="20"/>
              </w:rPr>
              <w:t>35,000</w:t>
            </w:r>
          </w:p>
        </w:tc>
        <w:tc>
          <w:tcPr>
            <w:tcW w:w="1483" w:type="dxa"/>
            <w:tcBorders>
              <w:top w:val="single" w:sz="8"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58EA1DDF" w14:textId="3514EF9A">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color w:val="000000"/>
                <w:szCs w:val="20"/>
              </w:rPr>
            </w:pPr>
            <w:r>
              <w:rPr>
                <w:rFonts w:eastAsia="DejaVu Sans" w:cs="Arial"/>
                <w:color w:val="000000"/>
                <w:szCs w:val="20"/>
              </w:rPr>
              <w:t>247,095</w:t>
            </w:r>
          </w:p>
        </w:tc>
      </w:tr>
      <w:tr w14:paraId="02502234" w14:textId="77777777">
        <w:trPr>
          <w:jc w:val="center"/>
        </w:trPr>
        <w:tc>
          <w:tcPr>
            <w:tcW w:w="2274" w:type="dxa"/>
            <w:tcBorders>
              <w:top w:val="single" w:sz="8" w:space="0" w:color="000000"/>
              <w:left w:val="single" w:sz="12"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59B3B5B"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Annual Total</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F40EAA0"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828,058</w:t>
            </w:r>
          </w:p>
        </w:tc>
        <w:tc>
          <w:tcPr>
            <w:tcW w:w="126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875CA6E"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99,275</w:t>
            </w:r>
          </w:p>
        </w:tc>
        <w:tc>
          <w:tcPr>
            <w:tcW w:w="1623"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9E38A52" w14:textId="7F38BDA2">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58,706</w:t>
            </w:r>
          </w:p>
        </w:tc>
        <w:tc>
          <w:tcPr>
            <w:tcW w:w="1483" w:type="dxa"/>
            <w:tcBorders>
              <w:top w:val="single" w:sz="8" w:space="0" w:color="000000"/>
              <w:left w:val="single" w:sz="8" w:space="0" w:color="000000"/>
              <w:bottom w:val="single" w:sz="8" w:space="0" w:color="000000"/>
              <w:right w:val="single" w:sz="12" w:space="0" w:color="000000"/>
            </w:tcBorders>
            <w:shd w:val="clear" w:color="auto" w:fill="FFFFFF"/>
            <w:tcMar>
              <w:top w:w="0" w:type="dxa"/>
              <w:left w:w="0" w:type="dxa"/>
              <w:bottom w:w="0" w:type="dxa"/>
              <w:right w:w="0" w:type="dxa"/>
            </w:tcMar>
            <w:vAlign w:val="center"/>
          </w:tcPr>
          <w:p w14:paraId="193E33A6" w14:textId="3ECFF620">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986,039</w:t>
            </w:r>
          </w:p>
        </w:tc>
      </w:tr>
      <w:tr w14:paraId="52DAA351" w14:textId="77777777">
        <w:trPr>
          <w:jc w:val="center"/>
        </w:trPr>
        <w:tc>
          <w:tcPr>
            <w:tcW w:w="2274" w:type="dxa"/>
            <w:tcBorders>
              <w:top w:val="single" w:sz="8" w:space="0" w:color="000000"/>
              <w:left w:val="single" w:sz="12"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573CCF86"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Cumulative Total</w:t>
            </w:r>
          </w:p>
        </w:tc>
        <w:tc>
          <w:tcPr>
            <w:tcW w:w="126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52F22F15"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828,058</w:t>
            </w:r>
          </w:p>
        </w:tc>
        <w:tc>
          <w:tcPr>
            <w:tcW w:w="1268"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30051C96"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927,333</w:t>
            </w:r>
          </w:p>
        </w:tc>
        <w:tc>
          <w:tcPr>
            <w:tcW w:w="1623" w:type="dxa"/>
            <w:tcBorders>
              <w:top w:val="single" w:sz="8" w:space="0" w:color="000000"/>
              <w:left w:val="single" w:sz="8" w:space="0" w:color="000000"/>
              <w:bottom w:val="single" w:sz="12" w:space="0" w:color="000000"/>
              <w:right w:val="single" w:sz="8" w:space="0" w:color="000000"/>
            </w:tcBorders>
            <w:shd w:val="clear" w:color="auto" w:fill="FFFFFF"/>
            <w:tcMar>
              <w:top w:w="0" w:type="dxa"/>
              <w:left w:w="0" w:type="dxa"/>
              <w:bottom w:w="0" w:type="dxa"/>
              <w:right w:w="0" w:type="dxa"/>
            </w:tcMar>
            <w:vAlign w:val="center"/>
          </w:tcPr>
          <w:p w14:paraId="4F2665CE" w14:textId="4B21F048">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r>
              <w:rPr>
                <w:rFonts w:eastAsia="DejaVu Sans" w:cs="Arial"/>
                <w:b/>
                <w:color w:val="000000"/>
                <w:szCs w:val="20"/>
              </w:rPr>
              <w:t>986,039</w:t>
            </w:r>
          </w:p>
        </w:tc>
        <w:tc>
          <w:tcPr>
            <w:tcW w:w="1483" w:type="dxa"/>
            <w:tcBorders>
              <w:top w:val="single" w:sz="8" w:space="0" w:color="000000"/>
              <w:left w:val="single" w:sz="8"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0F1C7C56" w14:textId="77777777">
            <w:pPr>
              <w:pBdr>
                <w:top w:val="none" w:sz="0" w:space="0" w:color="000000"/>
                <w:left w:val="none" w:sz="0" w:space="0" w:color="000000"/>
                <w:bottom w:val="none" w:sz="0" w:space="0" w:color="000000"/>
                <w:right w:val="none" w:sz="0" w:space="0" w:color="000000"/>
              </w:pBdr>
              <w:spacing w:before="80" w:after="80"/>
              <w:ind w:left="80" w:right="80"/>
              <w:jc w:val="center"/>
              <w:rPr>
                <w:rFonts w:eastAsia="DejaVu Sans" w:cs="Arial"/>
                <w:b/>
                <w:color w:val="000000"/>
                <w:szCs w:val="20"/>
              </w:rPr>
            </w:pPr>
          </w:p>
        </w:tc>
      </w:tr>
    </w:tbl>
    <w:p w14:paraId="28B83D7C" w14:textId="77777777">
      <w:pPr>
        <w:pStyle w:val="Heading2"/>
      </w:pPr>
      <w:bookmarkStart w:id="20" w:name="notes-and-disclaimers"/>
      <w:bookmarkEnd w:id="19"/>
      <w:r>
        <w:lastRenderedPageBreak/>
        <w:t>Notes and Disclaimers</w:t>
      </w:r>
    </w:p>
    <w:p w14:paraId="3F1B7678" w14:textId="77777777">
      <w:pPr>
        <w:pStyle w:val="Compact"/>
        <w:numPr>
          <w:ilvl w:val="0"/>
          <w:numId w:val="41"/>
        </w:numPr>
      </w:pPr>
      <w:r>
        <w:t>Modeled Conservation volumes reflect executed agreements and/or current operational projections/assumptions and are subject to change. Additional conservation activities are being considered. After new agreements are finalized and executed, these additional activities will be included in Reclamation’s operational modeling.</w:t>
      </w:r>
    </w:p>
    <w:p w14:paraId="1B9CAAD2" w14:textId="700BDF02">
      <w:pPr>
        <w:pStyle w:val="Compact"/>
        <w:numPr>
          <w:ilvl w:val="0"/>
          <w:numId w:val="41"/>
        </w:numPr>
      </w:pPr>
      <w:r>
        <w:t>Projected SEIS ROD Reservoir Protection Volume is 3.8</w:t>
      </w:r>
      <w:r>
        <w:t>76</w:t>
      </w:r>
      <w:r>
        <w:t xml:space="preserve"> </w:t>
      </w:r>
      <w:r>
        <w:t xml:space="preserve">maf </w:t>
      </w:r>
      <w:r>
        <w:t>from 2023 through 2026.</w:t>
      </w:r>
      <w:bookmarkEnd w:id="20"/>
    </w:p>
    <w:sect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47C38" w14:textId="77777777">
      <w:r>
        <w:separator/>
      </w:r>
    </w:p>
  </w:endnote>
  <w:endnote w:type="continuationSeparator" w:id="0">
    <w:p w14:paraId="1D2AEE7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jaVu Sans">
    <w:altName w:val="Verdan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BCD9E" w14:textId="77777777">
      <w:r>
        <w:separator/>
      </w:r>
    </w:p>
  </w:footnote>
  <w:footnote w:type="continuationSeparator" w:id="0">
    <w:p w14:paraId="11CFF9EB"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3603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254F4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70CD2DE"/>
    <w:multiLevelType w:val="multilevel"/>
    <w:tmpl w:val="6E02C55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41764699">
    <w:abstractNumId w:val="2"/>
  </w:num>
  <w:num w:numId="2" w16cid:durableId="1991203544">
    <w:abstractNumId w:val="0"/>
  </w:num>
  <w:num w:numId="3" w16cid:durableId="1567910156">
    <w:abstractNumId w:val="1"/>
  </w:num>
  <w:num w:numId="4" w16cid:durableId="1517234276">
    <w:abstractNumId w:val="1"/>
  </w:num>
  <w:num w:numId="5" w16cid:durableId="610630218">
    <w:abstractNumId w:val="1"/>
  </w:num>
  <w:num w:numId="6" w16cid:durableId="356977063">
    <w:abstractNumId w:val="1"/>
  </w:num>
  <w:num w:numId="7" w16cid:durableId="940407594">
    <w:abstractNumId w:val="1"/>
  </w:num>
  <w:num w:numId="8" w16cid:durableId="1651783151">
    <w:abstractNumId w:val="1"/>
  </w:num>
  <w:num w:numId="9" w16cid:durableId="929198831">
    <w:abstractNumId w:val="1"/>
  </w:num>
  <w:num w:numId="10" w16cid:durableId="1230192722">
    <w:abstractNumId w:val="1"/>
  </w:num>
  <w:num w:numId="11" w16cid:durableId="296955495">
    <w:abstractNumId w:val="1"/>
  </w:num>
  <w:num w:numId="12" w16cid:durableId="237329852">
    <w:abstractNumId w:val="1"/>
  </w:num>
  <w:num w:numId="13" w16cid:durableId="408580566">
    <w:abstractNumId w:val="1"/>
  </w:num>
  <w:num w:numId="14" w16cid:durableId="62799121">
    <w:abstractNumId w:val="1"/>
  </w:num>
  <w:num w:numId="15" w16cid:durableId="477185058">
    <w:abstractNumId w:val="1"/>
  </w:num>
  <w:num w:numId="16" w16cid:durableId="489760466">
    <w:abstractNumId w:val="1"/>
  </w:num>
  <w:num w:numId="17" w16cid:durableId="735057466">
    <w:abstractNumId w:val="1"/>
  </w:num>
  <w:num w:numId="18" w16cid:durableId="1746949042">
    <w:abstractNumId w:val="1"/>
  </w:num>
  <w:num w:numId="19" w16cid:durableId="1986620527">
    <w:abstractNumId w:val="1"/>
  </w:num>
  <w:num w:numId="20" w16cid:durableId="1083453225">
    <w:abstractNumId w:val="1"/>
  </w:num>
  <w:num w:numId="21" w16cid:durableId="277181346">
    <w:abstractNumId w:val="1"/>
  </w:num>
  <w:num w:numId="22" w16cid:durableId="1185288344">
    <w:abstractNumId w:val="1"/>
  </w:num>
  <w:num w:numId="23" w16cid:durableId="172108211">
    <w:abstractNumId w:val="1"/>
  </w:num>
  <w:num w:numId="24" w16cid:durableId="370229344">
    <w:abstractNumId w:val="1"/>
  </w:num>
  <w:num w:numId="25" w16cid:durableId="215048102">
    <w:abstractNumId w:val="1"/>
  </w:num>
  <w:num w:numId="26" w16cid:durableId="418992433">
    <w:abstractNumId w:val="1"/>
  </w:num>
  <w:num w:numId="27" w16cid:durableId="1517229770">
    <w:abstractNumId w:val="1"/>
  </w:num>
  <w:num w:numId="28" w16cid:durableId="754941414">
    <w:abstractNumId w:val="1"/>
  </w:num>
  <w:num w:numId="29" w16cid:durableId="2114588531">
    <w:abstractNumId w:val="1"/>
  </w:num>
  <w:num w:numId="30" w16cid:durableId="1315331377">
    <w:abstractNumId w:val="1"/>
  </w:num>
  <w:num w:numId="31" w16cid:durableId="1187404823">
    <w:abstractNumId w:val="1"/>
  </w:num>
  <w:num w:numId="32" w16cid:durableId="1532500493">
    <w:abstractNumId w:val="1"/>
  </w:num>
  <w:num w:numId="33" w16cid:durableId="1174804226">
    <w:abstractNumId w:val="1"/>
  </w:num>
  <w:num w:numId="34" w16cid:durableId="338898401">
    <w:abstractNumId w:val="1"/>
  </w:num>
  <w:num w:numId="35" w16cid:durableId="74984605">
    <w:abstractNumId w:val="1"/>
  </w:num>
  <w:num w:numId="36" w16cid:durableId="1563060892">
    <w:abstractNumId w:val="1"/>
  </w:num>
  <w:num w:numId="37" w16cid:durableId="1264990864">
    <w:abstractNumId w:val="1"/>
  </w:num>
  <w:num w:numId="38" w16cid:durableId="1002465404">
    <w:abstractNumId w:val="1"/>
  </w:num>
  <w:num w:numId="39" w16cid:durableId="1230573498">
    <w:abstractNumId w:val="1"/>
  </w:num>
  <w:num w:numId="40" w16cid:durableId="276955871">
    <w:abstractNumId w:val="1"/>
  </w:num>
  <w:num w:numId="41" w16cid:durableId="1665207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formatting="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0291F"/>
    <w:rsid w:val="000B0FAA"/>
    <w:rsid w:val="001F0B39"/>
    <w:rsid w:val="001F4FAF"/>
    <w:rsid w:val="0026279B"/>
    <w:rsid w:val="002E0483"/>
    <w:rsid w:val="00331DD6"/>
    <w:rsid w:val="003F5D7E"/>
    <w:rsid w:val="004428F1"/>
    <w:rsid w:val="004470A6"/>
    <w:rsid w:val="004A6BDE"/>
    <w:rsid w:val="004C157E"/>
    <w:rsid w:val="00672ABA"/>
    <w:rsid w:val="006A3BF6"/>
    <w:rsid w:val="00736583"/>
    <w:rsid w:val="00742FE2"/>
    <w:rsid w:val="00743B96"/>
    <w:rsid w:val="007C43C7"/>
    <w:rsid w:val="00901A9C"/>
    <w:rsid w:val="00983A3B"/>
    <w:rsid w:val="00984B4B"/>
    <w:rsid w:val="009A4646"/>
    <w:rsid w:val="009C6160"/>
    <w:rsid w:val="00AF0C72"/>
    <w:rsid w:val="00B0291F"/>
    <w:rsid w:val="00B715D4"/>
    <w:rsid w:val="00CE2D3B"/>
    <w:rsid w:val="00D013A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1F82F"/>
  <w15:docId w15:val="{6CF12935-2060-44B8-BD23-4A92C4162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7DE7"/>
    <w:pPr>
      <w:spacing w:after="0"/>
    </w:pPr>
    <w:rPr>
      <w:rFonts w:ascii="Arial" w:hAnsi="Arial"/>
      <w:sz w:val="20"/>
    </w:rPr>
  </w:style>
  <w:style w:type="paragraph" w:styleId="Heading1">
    <w:name w:val="heading 1"/>
    <w:basedOn w:val="Normal"/>
    <w:next w:val="BodyText"/>
    <w:uiPriority w:val="9"/>
    <w:qFormat/>
    <w:rsid w:val="00D97DE7"/>
    <w:pPr>
      <w:keepNext/>
      <w:keepLines/>
      <w:spacing w:before="480"/>
      <w:outlineLvl w:val="0"/>
    </w:pPr>
    <w:rPr>
      <w:rFonts w:eastAsiaTheme="majorEastAsia" w:cstheme="majorBidi"/>
      <w:b/>
      <w:bCs/>
      <w:color w:val="000000" w:themeColor="text1"/>
      <w:sz w:val="32"/>
      <w:szCs w:val="32"/>
    </w:rPr>
  </w:style>
  <w:style w:type="paragraph" w:styleId="Heading2">
    <w:name w:val="heading 2"/>
    <w:basedOn w:val="Normal"/>
    <w:next w:val="BodyText"/>
    <w:uiPriority w:val="9"/>
    <w:unhideWhenUsed/>
    <w:qFormat/>
    <w:rsid w:val="00D97DE7"/>
    <w:pPr>
      <w:keepNext/>
      <w:keepLines/>
      <w:spacing w:before="200"/>
      <w:outlineLvl w:val="1"/>
    </w:pPr>
    <w:rPr>
      <w:rFonts w:eastAsiaTheme="majorEastAsia" w:cstheme="majorBidi"/>
      <w:b/>
      <w:bCs/>
      <w:color w:val="000000" w:themeColor="text1"/>
      <w:sz w:val="28"/>
      <w:szCs w:val="28"/>
    </w:rPr>
  </w:style>
  <w:style w:type="paragraph" w:styleId="Heading3">
    <w:name w:val="heading 3"/>
    <w:basedOn w:val="Normal"/>
    <w:next w:val="BodyText"/>
    <w:uiPriority w:val="9"/>
    <w:unhideWhenUsed/>
    <w:qFormat/>
    <w:rsid w:val="00DC7E0C"/>
    <w:pPr>
      <w:keepNext/>
      <w:keepLines/>
      <w:spacing w:before="200" w:after="120"/>
      <w:outlineLvl w:val="2"/>
    </w:pPr>
    <w:rPr>
      <w:rFonts w:eastAsiaTheme="majorEastAsia" w:cstheme="majorBidi"/>
      <w:b/>
      <w:bCs/>
      <w:color w:val="000000" w:themeColor="text1"/>
      <w:sz w:val="28"/>
      <w:u w:val="single"/>
    </w:rPr>
  </w:style>
  <w:style w:type="paragraph" w:styleId="Heading4">
    <w:name w:val="heading 4"/>
    <w:basedOn w:val="Normal"/>
    <w:next w:val="BodyText"/>
    <w:uiPriority w:val="9"/>
    <w:unhideWhenUsed/>
    <w:qFormat/>
    <w:rsid w:val="002A65EB"/>
    <w:pPr>
      <w:keepNext/>
      <w:keepLines/>
      <w:spacing w:before="200"/>
      <w:outlineLvl w:val="3"/>
    </w:pPr>
    <w:rPr>
      <w:rFonts w:eastAsiaTheme="majorEastAsia" w:cstheme="majorBidi"/>
      <w:b/>
      <w:bCs/>
      <w:color w:val="000000" w:themeColor="text1"/>
      <w:sz w:val="24"/>
    </w:rPr>
  </w:style>
  <w:style w:type="paragraph" w:styleId="Heading5">
    <w:name w:val="heading 5"/>
    <w:basedOn w:val="Normal"/>
    <w:next w:val="BodyText"/>
    <w:uiPriority w:val="9"/>
    <w:unhideWhenUsed/>
    <w:qFormat/>
    <w:rsid w:val="002D29BF"/>
    <w:pPr>
      <w:keepNext/>
      <w:keepLines/>
      <w:spacing w:before="200" w:after="120"/>
      <w:outlineLvl w:val="4"/>
    </w:pPr>
    <w:rPr>
      <w:rFonts w:eastAsiaTheme="majorEastAsia" w:cstheme="majorBidi"/>
      <w:b/>
      <w:iCs/>
      <w:color w:val="000000" w:themeColor="tex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9674ED"/>
    <w:pPr>
      <w:spacing w:before="180" w:after="180"/>
    </w:pPr>
  </w:style>
  <w:style w:type="paragraph" w:customStyle="1" w:styleId="FirstParagraph">
    <w:name w:val="First Paragraph"/>
    <w:basedOn w:val="BodyText"/>
    <w:next w:val="BodyText"/>
    <w:qFormat/>
    <w:rsid w:val="009674ED"/>
  </w:style>
  <w:style w:type="paragraph" w:customStyle="1" w:styleId="Compact">
    <w:name w:val="Compact"/>
    <w:basedOn w:val="BodyText"/>
    <w:qFormat/>
    <w:rsid w:val="000761FB"/>
    <w:pPr>
      <w:spacing w:before="36" w:after="36"/>
    </w:pPr>
  </w:style>
  <w:style w:type="paragraph" w:styleId="Title">
    <w:name w:val="Title"/>
    <w:basedOn w:val="Normal"/>
    <w:next w:val="BodyText"/>
    <w:qFormat/>
    <w:rsid w:val="00284634"/>
    <w:pPr>
      <w:keepNext/>
      <w:keepLines/>
      <w:spacing w:before="120" w:after="80"/>
      <w:jc w:val="center"/>
    </w:pPr>
    <w:rPr>
      <w:rFonts w:eastAsiaTheme="majorEastAsia" w:cstheme="majorBidi"/>
      <w:b/>
      <w:bCs/>
      <w:sz w:val="32"/>
      <w:szCs w:val="36"/>
    </w:rPr>
  </w:style>
  <w:style w:type="paragraph" w:styleId="Subtitle">
    <w:name w:val="Subtitle"/>
    <w:basedOn w:val="Title"/>
    <w:next w:val="BodyText"/>
    <w:qFormat/>
    <w:rsid w:val="00284634"/>
    <w:pPr>
      <w:spacing w:before="80"/>
    </w:pPr>
    <w:rPr>
      <w:sz w:val="28"/>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D97DE7"/>
    <w:rPr>
      <w:rFonts w:ascii="Arial" w:hAnsi="Arial"/>
      <w:color w:val="4F81BD" w:themeColor="accent1"/>
      <w:sz w:val="20"/>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4C157E"/>
    <w:pPr>
      <w:spacing w:after="0"/>
    </w:pPr>
    <w:rPr>
      <w:rFonts w:ascii="Arial" w:hAnsi="Arial"/>
      <w:sz w:val="20"/>
    </w:rPr>
  </w:style>
  <w:style w:type="paragraph" w:styleId="Header">
    <w:name w:val="header"/>
    <w:basedOn w:val="Normal"/>
    <w:link w:val="HeaderChar"/>
    <w:rsid w:val="001F4FAF"/>
    <w:pPr>
      <w:tabs>
        <w:tab w:val="center" w:pos="4680"/>
        <w:tab w:val="right" w:pos="9360"/>
      </w:tabs>
    </w:pPr>
  </w:style>
  <w:style w:type="character" w:customStyle="1" w:styleId="HeaderChar">
    <w:name w:val="Header Char"/>
    <w:basedOn w:val="DefaultParagraphFont"/>
    <w:link w:val="Header"/>
    <w:rsid w:val="001F4FAF"/>
    <w:rPr>
      <w:rFonts w:ascii="Arial" w:hAnsi="Arial"/>
      <w:sz w:val="20"/>
    </w:rPr>
  </w:style>
  <w:style w:type="paragraph" w:styleId="Footer">
    <w:name w:val="footer"/>
    <w:basedOn w:val="Normal"/>
    <w:link w:val="FooterChar"/>
    <w:rsid w:val="001F4FAF"/>
    <w:pPr>
      <w:tabs>
        <w:tab w:val="center" w:pos="4680"/>
        <w:tab w:val="right" w:pos="9360"/>
      </w:tabs>
    </w:pPr>
  </w:style>
  <w:style w:type="character" w:customStyle="1" w:styleId="FooterChar">
    <w:name w:val="Footer Char"/>
    <w:basedOn w:val="DefaultParagraphFont"/>
    <w:link w:val="Footer"/>
    <w:rsid w:val="001F4FAF"/>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332cce-bc08-4a94-9efe-46f2e7d71bdd">
      <Terms xmlns="http://schemas.microsoft.com/office/infopath/2007/PartnerControls"/>
    </lcf76f155ced4ddcb4097134ff3c332f>
    <TaxCatchAll xmlns="31062a0d-ede8-4112-b4bb-00a9c1bc8e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AFA6F02D6CD443B2C4A5B55744EB05" ma:contentTypeVersion="14" ma:contentTypeDescription="Create a new document." ma:contentTypeScope="" ma:versionID="dbb85a3f029c2081312e51a7c64eac28">
  <xsd:schema xmlns:xsd="http://www.w3.org/2001/XMLSchema" xmlns:xs="http://www.w3.org/2001/XMLSchema" xmlns:p="http://schemas.microsoft.com/office/2006/metadata/properties" xmlns:ns2="c1332cce-bc08-4a94-9efe-46f2e7d71bdd" xmlns:ns3="d5a8e5c4-d2be-4d98-8397-fa3bd426167b" xmlns:ns4="31062a0d-ede8-4112-b4bb-00a9c1bc8e16" targetNamespace="http://schemas.microsoft.com/office/2006/metadata/properties" ma:root="true" ma:fieldsID="a78645b8c589e92e45097fd54eafa073" ns2:_="" ns3:_="" ns4:_="">
    <xsd:import namespace="c1332cce-bc08-4a94-9efe-46f2e7d71bdd"/>
    <xsd:import namespace="d5a8e5c4-d2be-4d98-8397-fa3bd426167b"/>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332cce-bc08-4a94-9efe-46f2e7d71b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a8e5c4-d2be-4d98-8397-fa3bd426167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2c8ab451-87bc-4252-9ce7-929a0b8ac804}" ma:internalName="TaxCatchAll" ma:showField="CatchAllData" ma:web="d5a8e5c4-d2be-4d98-8397-fa3bd42616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CFC017-C145-4ED1-9D34-C1B9CB1CDBD9}">
  <ds:schemaRefs>
    <ds:schemaRef ds:uri="http://schemas.microsoft.com/office/2006/metadata/properties"/>
    <ds:schemaRef ds:uri="http://schemas.microsoft.com/office/infopath/2007/PartnerControls"/>
    <ds:schemaRef ds:uri="c1332cce-bc08-4a94-9efe-46f2e7d71bdd"/>
    <ds:schemaRef ds:uri="31062a0d-ede8-4112-b4bb-00a9c1bc8e16"/>
  </ds:schemaRefs>
</ds:datastoreItem>
</file>

<file path=customXml/itemProps2.xml><?xml version="1.0" encoding="utf-8"?>
<ds:datastoreItem xmlns:ds="http://schemas.openxmlformats.org/officeDocument/2006/customXml" ds:itemID="{FCAC7C7F-134B-4BA8-8091-A56FFEA18927}">
  <ds:schemaRefs>
    <ds:schemaRef ds:uri="http://schemas.microsoft.com/sharepoint/v3/contenttype/forms"/>
  </ds:schemaRefs>
</ds:datastoreItem>
</file>

<file path=customXml/itemProps3.xml><?xml version="1.0" encoding="utf-8"?>
<ds:datastoreItem xmlns:ds="http://schemas.openxmlformats.org/officeDocument/2006/customXml" ds:itemID="{FDF35A77-A033-48C9-8496-346C07812A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332cce-bc08-4a94-9efe-46f2e7d71bdd"/>
    <ds:schemaRef ds:uri="d5a8e5c4-d2be-4d98-8397-fa3bd426167b"/>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Normal.dotm</Template>
  <TotalTime>148</TotalTime>
  <Pages>6</Pages>
  <Words>1349</Words>
  <Characters>7002</Characters>
  <Application>Microsoft Office Word</Application>
  <DocSecurity>0</DocSecurity>
  <Lines>368</Lines>
  <Paragraphs>363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Lower Basin Projected Water Use: 2026 - 2028</dc:title>
  <dc:creator/>
  <cp:keywords/>
  <cp:lastModifiedBy/>
  <cp:revision>15</cp:revision>
  <dcterms:created xsi:type="dcterms:W3CDTF">2026-07-13T18:14:00Z</dcterms:created>
  <dcterms:modified xsi:type="dcterms:W3CDTF">2026-07-24T00:37:00Z</dcterms:modified>
</cp:coreProperties>
</file>