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Min</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(7.652 maf)</w:t>
      </w:r>
      <w:r>
        <w:t xml:space="preserve"> </w:t>
      </w:r>
      <w:r>
        <w:t xml:space="preserve">– Based on Lake Mead Operating Condition of Level 1 Shortage and water savings contributions under the LB DCP Agreement and IBWC Minute 323.</w:t>
      </w:r>
    </w:p>
    <w:bookmarkStart w:id="23" w:name="u.s.-contractors-6.411-maf"/>
    <w:p>
      <w:pPr>
        <w:pStyle w:val="Heading4"/>
      </w:pPr>
      <w:r>
        <w:t xml:space="preserve">U.S. Contractors: 6.411 maf</w:t>
      </w:r>
    </w:p>
    <w:bookmarkStart w:id="20" w:name="california-4.231-maf"/>
    <w:p>
      <w:pPr>
        <w:pStyle w:val="Heading5"/>
      </w:pPr>
      <w:r>
        <w:t xml:space="preserve">California:</w:t>
      </w:r>
      <w:r>
        <w:t xml:space="preserve"> </w:t>
      </w:r>
      <w:rPr>
        <w:color w:val="0070C0"/>
      </w:rPr>
      <w:r>
        <w:t xml:space="preserve">4.231 maf</w:t>
      </w:r>
    </w:p>
    <w:p>
      <w:pPr>
        <w:numPr>
          <w:ilvl w:val="0"/>
          <w:numId w:val="1001"/>
        </w:numPr>
        <w:pStyle w:val="Compact"/>
      </w:pPr>
      <w:r>
        <w:t xml:space="preserve">MWD annual diversion of 1000 kaf</w:t>
      </w:r>
    </w:p>
    <w:p>
      <w:pPr>
        <w:numPr>
          <w:ilvl w:val="1"/>
          <w:numId w:val="1002"/>
        </w:numPr>
        <w:pStyle w:val="Compact"/>
      </w:pPr>
      <w:r>
        <w:t xml:space="preserve">Projected diversion includes the delivery of 262.1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w:t>
      </w:r>
      <w:r>
        <w:t xml:space="preserve"> </w:t>
      </w:r>
      <w:rPr>
        <w:color w:val="0070C0"/>
      </w:rPr>
      <w:r>
        <w:t xml:space="preserve">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215-maf"/>
    <w:p>
      <w:pPr>
        <w:pStyle w:val="Heading5"/>
      </w:pPr>
      <w:r>
        <w:t xml:space="preserve">Nevada:</w:t>
      </w:r>
      <w:r>
        <w:t xml:space="preserve"> </w:t>
      </w:r>
      <w:rPr>
        <w:color w:val="0070C0"/>
      </w:rPr>
      <w:r>
        <w:t xml:space="preserve">0.215 maf</w:t>
      </w:r>
    </w:p>
    <w:p>
      <w:pPr>
        <w:numPr>
          <w:ilvl w:val="0"/>
          <w:numId w:val="1008"/>
        </w:numPr>
      </w:pPr>
      <w:r>
        <w:t xml:space="preserve">SNWA annual use of 206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107 kaf</w:t>
      </w:r>
    </w:p>
    <w:p>
      <w:pPr>
        <w:numPr>
          <w:ilvl w:val="1"/>
          <w:numId w:val="1010"/>
        </w:numPr>
        <w:pStyle w:val="Compact"/>
      </w:pPr>
      <w:r>
        <w:t xml:space="preserve">Tributary conservation of 35 kaf</w:t>
      </w:r>
    </w:p>
    <w:p>
      <w:pPr>
        <w:numPr>
          <w:ilvl w:val="1"/>
          <w:numId w:val="1010"/>
        </w:numPr>
        <w:pStyle w:val="Compact"/>
      </w:pPr>
      <w:r>
        <w:t xml:space="preserve">Other system conservation of 72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(7.862 maf)</w:t>
      </w:r>
      <w:r>
        <w:t xml:space="preserve"> </w:t>
      </w:r>
      <w:r>
        <w:t xml:space="preserve">– Based on Lake Mead Operating Condition of Level 1 Shortage and water savings contributions under the LB DCP Agreement and IBWC Minute 323.</w:t>
      </w:r>
    </w:p>
    <w:bookmarkStart w:id="29" w:name="u.s.-contractors-6.509-maf"/>
    <w:p>
      <w:pPr>
        <w:pStyle w:val="Heading4"/>
      </w:pPr>
      <w:r>
        <w:t xml:space="preserve">U.S. Contractors: 6.509 maf</w:t>
      </w:r>
    </w:p>
    <w:bookmarkStart w:id="26" w:name="california-4.270-maf"/>
    <w:p>
      <w:pPr>
        <w:pStyle w:val="Heading5"/>
      </w:pPr>
      <w:r>
        <w:t xml:space="preserve">California:</w:t>
      </w:r>
      <w:r>
        <w:t xml:space="preserve"> </w:t>
      </w:r>
      <w:rPr>
        <w:color w:val="0070C0"/>
      </w:rPr>
      <w:r>
        <w:t xml:space="preserve">4.270 maf</w:t>
      </w:r>
    </w:p>
    <w:p>
      <w:pPr>
        <w:numPr>
          <w:ilvl w:val="0"/>
          <w:numId w:val="1013"/>
        </w:numPr>
      </w:pPr>
      <w:r>
        <w:t xml:space="preserve">MWD annual diversion of 1140 kaf</w:t>
      </w:r>
    </w:p>
    <w:p>
      <w:pPr>
        <w:numPr>
          <w:ilvl w:val="1"/>
          <w:numId w:val="1014"/>
        </w:numPr>
        <w:pStyle w:val="Compact"/>
      </w:pPr>
      <w:r>
        <w:t xml:space="preserve">Projected diversion includes the delivery of 219.2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w:t>
      </w:r>
      <w:r>
        <w:t xml:space="preserve"> </w:t>
      </w:r>
      <w:rPr>
        <w:color w:val="0070C0"/>
      </w:rPr>
      <w:r>
        <w:t xml:space="preserve">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51.7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11-maf"/>
    <w:p>
      <w:pPr>
        <w:pStyle w:val="Heading5"/>
      </w:pPr>
      <w:r>
        <w:t xml:space="preserve">Nevada:</w:t>
      </w:r>
      <w:r>
        <w:t xml:space="preserve"> </w:t>
      </w:r>
      <w:rPr>
        <w:color w:val="0070C0"/>
      </w:rPr>
      <w:r>
        <w:t xml:space="preserve">0.211 maf</w:t>
      </w:r>
    </w:p>
    <w:p>
      <w:pPr>
        <w:numPr>
          <w:ilvl w:val="0"/>
          <w:numId w:val="1020"/>
        </w:numPr>
      </w:pPr>
      <w:r>
        <w:t xml:space="preserve">SNWA annual use of 202 kaf. Projected diversion includes:</w:t>
      </w:r>
    </w:p>
    <w:p>
      <w:pPr>
        <w:numPr>
          <w:ilvl w:val="1"/>
          <w:numId w:val="1021"/>
        </w:numPr>
        <w:pStyle w:val="Compact"/>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111 kaf</w:t>
      </w:r>
    </w:p>
    <w:p>
      <w:pPr>
        <w:numPr>
          <w:ilvl w:val="1"/>
          <w:numId w:val="1022"/>
        </w:numPr>
        <w:pStyle w:val="Compact"/>
      </w:pPr>
      <w:r>
        <w:t xml:space="preserve">Tributary conservation of 35 kaf</w:t>
      </w:r>
    </w:p>
    <w:p>
      <w:pPr>
        <w:numPr>
          <w:ilvl w:val="1"/>
          <w:numId w:val="1022"/>
        </w:numPr>
        <w:pStyle w:val="Compact"/>
      </w:pPr>
      <w:r>
        <w:t xml:space="preserve">Other system conservation of 76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(8.481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085-maf"/>
    <w:p>
      <w:pPr>
        <w:pStyle w:val="Heading4"/>
      </w:pPr>
      <w:r>
        <w:t xml:space="preserve">U.S. Contractors: 7.085 maf</w:t>
      </w:r>
    </w:p>
    <w:bookmarkStart w:id="32" w:name="california-4.621-maf"/>
    <w:p>
      <w:pPr>
        <w:pStyle w:val="Heading5"/>
      </w:pPr>
      <w:r>
        <w:t xml:space="preserve">California:</w:t>
      </w:r>
      <w:r>
        <w:t xml:space="preserve"> </w:t>
      </w:r>
      <w:rPr>
        <w:color w:val="0070C0"/>
      </w:rPr>
      <w:r>
        <w:t xml:space="preserve">4.621 maf</w:t>
      </w:r>
    </w:p>
    <w:p>
      <w:pPr>
        <w:numPr>
          <w:ilvl w:val="0"/>
          <w:numId w:val="1025"/>
        </w:numPr>
        <w:pStyle w:val="Compact"/>
      </w:pPr>
      <w:r>
        <w:t xml:space="preserve">MWD annual diversion of 1166 kaf</w:t>
      </w:r>
    </w:p>
    <w:p>
      <w:pPr>
        <w:numPr>
          <w:ilvl w:val="1"/>
          <w:numId w:val="1026"/>
        </w:numPr>
        <w:pStyle w:val="Compact"/>
      </w:pPr>
      <w:r>
        <w:t xml:space="preserve">Projected diversion includes the delivery of 220.9 kaf of ICS</w:t>
      </w:r>
    </w:p>
    <w:p>
      <w:pPr>
        <w:numPr>
          <w:ilvl w:val="0"/>
          <w:numId w:val="1025"/>
        </w:numPr>
        <w:pStyle w:val="Compact"/>
      </w:pPr>
      <w:r>
        <w:t xml:space="preserve">Needles PSCP volume of 145 af</w:t>
      </w:r>
    </w:p>
    <w:bookmarkEnd w:id="32"/>
    <w:bookmarkStart w:id="33" w:name="arizona-2.259-maf"/>
    <w:p>
      <w:pPr>
        <w:pStyle w:val="Heading5"/>
      </w:pPr>
      <w:r>
        <w:t xml:space="preserve">Arizona:</w:t>
      </w:r>
      <w:r>
        <w:t xml:space="preserve"> </w:t>
      </w:r>
      <w:rPr>
        <w:color w:val="0070C0"/>
      </w:rPr>
      <w:r>
        <w:t xml:space="preserve">2.259 maf</w:t>
      </w:r>
    </w:p>
    <w:p>
      <w:pPr>
        <w:numPr>
          <w:ilvl w:val="0"/>
          <w:numId w:val="1027"/>
        </w:numPr>
      </w:pPr>
      <w:r>
        <w:t xml:space="preserve">CAP annual diversion of 980 kaf</w:t>
      </w:r>
    </w:p>
    <w:p>
      <w:pPr>
        <w:numPr>
          <w:ilvl w:val="1"/>
          <w:numId w:val="1028"/>
        </w:numPr>
        <w:pStyle w:val="Compact"/>
      </w:pPr>
      <w:r>
        <w:t xml:space="preserve">Projected diversion includes a Shortage volume of 400 kaf, DCP contribution of 192 kaf by CAWCD, and ICS delivery of 79.5 kaf</w:t>
      </w:r>
    </w:p>
    <w:p>
      <w:pPr>
        <w:numPr>
          <w:ilvl w:val="0"/>
          <w:numId w:val="1027"/>
        </w:numPr>
      </w:pPr>
      <w:r>
        <w:t xml:space="preserve">DCP contribution will be made by creating 50 kaf of ICS and 142 kaf of non-ICS water</w:t>
      </w:r>
    </w:p>
    <w:p>
      <w:pPr>
        <w:numPr>
          <w:ilvl w:val="0"/>
          <w:numId w:val="1027"/>
        </w:numPr>
      </w:pPr>
      <w:r>
        <w:t xml:space="preserve">Total non-CAWCD System Conservation of 20.6 kaf</w:t>
      </w:r>
    </w:p>
    <w:p>
      <w:pPr>
        <w:numPr>
          <w:ilvl w:val="1"/>
          <w:numId w:val="1029"/>
        </w:numPr>
        <w:pStyle w:val="Compact"/>
      </w:pPr>
      <w:r>
        <w:t xml:space="preserve">GRIC : 20.6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p>
      <w:pPr>
        <w:numPr>
          <w:ilvl w:val="0"/>
          <w:numId w:val="1027"/>
        </w:numPr>
      </w:pPr>
      <w:r>
        <w:t xml:space="preserve">Bullhead City PSCP volume of 400 af</w:t>
      </w:r>
    </w:p>
    <w:bookmarkEnd w:id="33"/>
    <w:bookmarkStart w:id="34" w:name="nevada-0.205-maf"/>
    <w:p>
      <w:pPr>
        <w:pStyle w:val="Heading5"/>
      </w:pPr>
      <w:r>
        <w:t xml:space="preserve">Nevada:</w:t>
      </w:r>
      <w:r>
        <w:t xml:space="preserve"> </w:t>
      </w:r>
      <w:rPr>
        <w:color w:val="0070C0"/>
      </w:rPr>
      <w:r>
        <w:t xml:space="preserve">0.205 maf</w:t>
      </w:r>
    </w:p>
    <w:p>
      <w:pPr>
        <w:numPr>
          <w:ilvl w:val="0"/>
          <w:numId w:val="1031"/>
        </w:numPr>
      </w:pPr>
      <w:r>
        <w:t xml:space="preserve">SNWA annual use of 196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78 kaf</w:t>
      </w:r>
    </w:p>
    <w:p>
      <w:pPr>
        <w:numPr>
          <w:ilvl w:val="0"/>
          <w:numId w:val="1031"/>
        </w:numPr>
      </w:pPr>
      <w:r>
        <w:t xml:space="preserve">DCP contribution of 8 kaf through EC ICS conversion</w:t>
      </w:r>
    </w:p>
    <w:p>
      <w:pPr>
        <w:numPr>
          <w:ilvl w:val="0"/>
          <w:numId w:val="1031"/>
        </w:numPr>
      </w:pPr>
      <w:r>
        <w:t xml:space="preserve">Total System Conservation of 35 kaf</w:t>
      </w:r>
    </w:p>
    <w:p>
      <w:pPr>
        <w:numPr>
          <w:ilvl w:val="1"/>
          <w:numId w:val="1033"/>
        </w:numPr>
        <w:pStyle w:val="Compact"/>
      </w:pPr>
      <w:r>
        <w:t xml:space="preserve">Tributary conservation of 35 kaf</w:t>
      </w:r>
    </w:p>
    <w:bookmarkEnd w:id="34"/>
    <w:bookmarkEnd w:id="35"/>
    <w:bookmarkStart w:id="36" w:name="X5b58d9b694400767ab583c0581d3b28d1e9afa4"/>
    <w:p>
      <w:pPr>
        <w:pStyle w:val="Heading4"/>
      </w:pPr>
      <w:r>
        <w:t xml:space="preserve">Mexico’s Scheduled Water Delivery: 1.396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8"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2.142 maf</w:t>
      </w:r>
    </w:p>
    <w:p>
      <w:pPr>
        <w:numPr>
          <w:ilvl w:val="0"/>
          <w:numId w:val="1036"/>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648,710</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1,310,291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1,127,504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906,626</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516,704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586,904</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2,425,145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2,327,423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2,142,240</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51,650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20,618</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197,268</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20,000</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455,000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730,283</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63,387</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1,638,375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9"/>
        <w:gridCol w:w="1080"/>
        <w:gridCol w:w="1247"/>
        <w:gridCol w:w="1247"/>
        <w:gridCol w:w="1247"/>
      </w:tblGrid>
      <w:tr>
        <w:trPr>
          <w:trHeight w:val="505" w:hRule="auto"/>
          <w:tblHeader/>
        </w:trPr>
        header1
        <w:tc>
          <w:tcPr>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r>
      <w:tr>
        <w:trPr>
          <w:trHeight w:val="529" w:hRule="auto"/>
        </w:trPr>
        body1
        <w:tc>
          <w:tcPr>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335,176</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235,208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27,842</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598,226</w:t>
            </w:r>
          </w:p>
        </w:tc>
      </w:tr>
      <w:tr>
        <w:trPr>
          <w:trHeight w:val="529" w:hRule="auto"/>
        </w:trPr>
        body2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430,721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348,530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779,251</w:t>
            </w:r>
          </w:p>
        </w:tc>
      </w:tr>
      <w:tr>
        <w:trPr>
          <w:trHeight w:val="529" w:hRule="auto"/>
        </w:trPr>
        body3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35,000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273,000</w:t>
            </w:r>
          </w:p>
        </w:tc>
      </w:tr>
      <w:tr>
        <w:trPr>
          <w:trHeight w:val="533" w:hRule="auto"/>
        </w:trPr>
        body4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Annual 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882,897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704,738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62,842</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1,650,477</w:t>
            </w:r>
          </w:p>
        </w:tc>
      </w:tr>
      <w:tr>
        <w:trPr>
          <w:trHeight w:val="533" w:hRule="auto"/>
        </w:trPr>
        body5
        <w:tc>
          <w:tcPr>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882,897</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1,587,635</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1,650,477</w:t>
            </w:r>
          </w:p>
        </w:tc>
        <w:tc>
          <w:tcPr>
            <w:tcBorders>
              <w:bottom w:val="single" w:sz="12"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r>
    </w:tbl>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2025-06-05T17:08:03Z</dcterms:created>
  <dcterms:modified xsi:type="dcterms:W3CDTF">2025-06-05T17:08:03Z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April 2025: Probable Min 24-Month Study</vt:lpwstr>
  </property>
  <property fmtid="{D5CDD505-2E9C-101B-9397-08002B2CF9AE}" pid="10" name="toc-title">
    <vt:lpwstr>Table of contents</vt:lpwstr>
  </property>
</Properties>
</file>