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Min</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(7.652 maf)</w:t>
      </w:r>
      <w:r>
        <w:t xml:space="preserve"> </w:t>
      </w:r>
      <w:r>
        <w:t xml:space="preserve">– Based on Lake Mead Operating Condition of Level 1 Shortage and water savings contributions under the LB DCP Agreement and IBWC Minute 323.</w:t>
      </w:r>
    </w:p>
    <w:bookmarkStart w:id="23" w:name="u.s.-contractors-6.411-maf"/>
    <w:p>
      <w:pPr>
        <w:pStyle w:val="Heading4"/>
      </w:pPr>
      <w:r>
        <w:t xml:space="preserve">U.S. Contractors: 6.411 maf</w:t>
      </w:r>
    </w:p>
    <w:bookmarkStart w:id="20" w:name="california-4.231-maf"/>
    <w:p>
      <w:pPr>
        <w:pStyle w:val="Heading5"/>
      </w:pPr>
      <w:r>
        <w:t xml:space="preserve">California:</w:t>
      </w:r>
      <w:r>
        <w:t xml:space="preserve"> </w:t>
      </w:r>
      <w:rPr>
        <w:color w:val="0070C0"/>
      </w:rPr>
      <w:r>
        <w:t xml:space="preserve">4.231 maf</w:t>
      </w:r>
    </w:p>
    <w:p>
      <w:pPr>
        <w:numPr>
          <w:ilvl w:val="0"/>
          <w:numId w:val="1001"/>
        </w:numPr>
        <w:pStyle w:val="Compact"/>
      </w:pPr>
      <w:r>
        <w:t xml:space="preserve">MWD annual diversion of 1000 kaf</w:t>
      </w:r>
    </w:p>
    <w:p>
      <w:pPr>
        <w:numPr>
          <w:ilvl w:val="1"/>
          <w:numId w:val="1002"/>
        </w:numPr>
        <w:pStyle w:val="Compact"/>
      </w:pPr>
      <w:r>
        <w:t xml:space="preserve">Projected diversion includes the delivery of 262.1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215-maf"/>
    <w:p>
      <w:pPr>
        <w:pStyle w:val="Heading5"/>
      </w:pPr>
      <w:r>
        <w:t xml:space="preserve">Nevada:</w:t>
      </w:r>
      <w:r>
        <w:t xml:space="preserve"> </w:t>
      </w:r>
      <w:rPr>
        <w:color w:val="0070C0"/>
      </w:rPr>
      <w:r>
        <w:t xml:space="preserve">0.215 maf</w:t>
      </w:r>
    </w:p>
    <w:p>
      <w:pPr>
        <w:numPr>
          <w:ilvl w:val="0"/>
          <w:numId w:val="1008"/>
        </w:numPr>
      </w:pPr>
      <w:r>
        <w:t xml:space="preserve">SNWA annual use of 206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107 kaf</w:t>
      </w:r>
    </w:p>
    <w:p>
      <w:pPr>
        <w:numPr>
          <w:ilvl w:val="1"/>
          <w:numId w:val="1010"/>
        </w:numPr>
        <w:pStyle w:val="Compact"/>
      </w:pPr>
      <w:r>
        <w:t xml:space="preserve">Tributary conservation of 35 kaf</w:t>
      </w:r>
    </w:p>
    <w:p>
      <w:pPr>
        <w:numPr>
          <w:ilvl w:val="1"/>
          <w:numId w:val="1010"/>
        </w:numPr>
        <w:pStyle w:val="Compact"/>
      </w:pPr>
      <w:r>
        <w:t xml:space="preserve">Other system conservation of 72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(7.862 maf)</w:t>
      </w:r>
      <w:r>
        <w:t xml:space="preserve"> </w:t>
      </w:r>
      <w:r>
        <w:t xml:space="preserve">– Based on Lake Mead Operating Condition of Level 1 Shortage and water savings contributions under the LB DCP Agreement and IBWC Minute 323.</w:t>
      </w:r>
    </w:p>
    <w:bookmarkStart w:id="29" w:name="u.s.-contractors-6.509-maf"/>
    <w:p>
      <w:pPr>
        <w:pStyle w:val="Heading4"/>
      </w:pPr>
      <w:r>
        <w:t xml:space="preserve">U.S. Contractors: 6.509 maf</w:t>
      </w:r>
    </w:p>
    <w:bookmarkStart w:id="26" w:name="california-4.270-maf"/>
    <w:p>
      <w:pPr>
        <w:pStyle w:val="Heading5"/>
      </w:pPr>
      <w:r>
        <w:t xml:space="preserve">California:</w:t>
      </w:r>
      <w:r>
        <w:t xml:space="preserve"> </w:t>
      </w:r>
      <w:rPr>
        <w:color w:val="0070C0"/>
      </w:rPr>
      <w:r>
        <w:t xml:space="preserve">4.270 maf</w:t>
      </w:r>
    </w:p>
    <w:p>
      <w:pPr>
        <w:numPr>
          <w:ilvl w:val="0"/>
          <w:numId w:val="1013"/>
        </w:numPr>
      </w:pPr>
      <w:r>
        <w:t xml:space="preserve">MWD annual diversion of 1140 kaf</w:t>
      </w:r>
    </w:p>
    <w:p>
      <w:pPr>
        <w:numPr>
          <w:ilvl w:val="1"/>
          <w:numId w:val="1014"/>
        </w:numPr>
        <w:pStyle w:val="Compact"/>
      </w:pPr>
      <w:r>
        <w:t xml:space="preserve">Projected diversion includes the delivery of 219.2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11-maf"/>
    <w:p>
      <w:pPr>
        <w:pStyle w:val="Heading5"/>
      </w:pPr>
      <w:r>
        <w:t xml:space="preserve">Nevada:</w:t>
      </w:r>
      <w:r>
        <w:t xml:space="preserve"> </w:t>
      </w:r>
      <w:rPr>
        <w:color w:val="0070C0"/>
      </w:rPr>
      <w:r>
        <w:t xml:space="preserve">0.211 maf</w:t>
      </w:r>
    </w:p>
    <w:p>
      <w:pPr>
        <w:numPr>
          <w:ilvl w:val="0"/>
          <w:numId w:val="1020"/>
        </w:numPr>
      </w:pPr>
      <w:r>
        <w:t xml:space="preserve">SNWA annual use of 202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111 kaf</w:t>
      </w:r>
    </w:p>
    <w:p>
      <w:pPr>
        <w:numPr>
          <w:ilvl w:val="1"/>
          <w:numId w:val="1022"/>
        </w:numPr>
        <w:pStyle w:val="Compact"/>
      </w:pPr>
      <w:r>
        <w:t xml:space="preserve">Tributary conservation of 35 kaf</w:t>
      </w:r>
    </w:p>
    <w:p>
      <w:pPr>
        <w:numPr>
          <w:ilvl w:val="1"/>
          <w:numId w:val="1022"/>
        </w:numPr>
        <w:pStyle w:val="Compact"/>
      </w:pPr>
      <w:r>
        <w:t xml:space="preserve">Other system conservation of 76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(8.481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085-maf"/>
    <w:p>
      <w:pPr>
        <w:pStyle w:val="Heading4"/>
      </w:pPr>
      <w:r>
        <w:t xml:space="preserve">U.S. Contractors: 7.085 maf</w:t>
      </w:r>
    </w:p>
    <w:bookmarkStart w:id="32" w:name="california-4.621-maf"/>
    <w:p>
      <w:pPr>
        <w:pStyle w:val="Heading5"/>
      </w:pPr>
      <w:r>
        <w:t xml:space="preserve">California:</w:t>
      </w:r>
      <w:r>
        <w:t xml:space="preserve"> </w:t>
      </w:r>
      <w:rPr>
        <w:color w:val="0070C0"/>
      </w:rPr>
      <w:r>
        <w:t xml:space="preserve">4.621 maf</w:t>
      </w:r>
    </w:p>
    <w:p>
      <w:pPr>
        <w:numPr>
          <w:ilvl w:val="0"/>
          <w:numId w:val="1025"/>
        </w:numPr>
        <w:pStyle w:val="Compact"/>
      </w:pPr>
      <w:r>
        <w:t xml:space="preserve">MWD annual diversion of 1166 kaf</w:t>
      </w:r>
    </w:p>
    <w:p>
      <w:pPr>
        <w:numPr>
          <w:ilvl w:val="1"/>
          <w:numId w:val="1026"/>
        </w:numPr>
        <w:pStyle w:val="Compact"/>
      </w:pPr>
      <w:r>
        <w:t xml:space="preserve">Projected diversion includes the delivery of 220.9 kaf of ICS</w:t>
      </w:r>
    </w:p>
    <w:p>
      <w:pPr>
        <w:numPr>
          <w:ilvl w:val="0"/>
          <w:numId w:val="1025"/>
        </w:numPr>
        <w:pStyle w:val="Compact"/>
      </w:pPr>
      <w:r>
        <w:t xml:space="preserve">Needles PSCP volume of 145 af</w:t>
      </w:r>
    </w:p>
    <w:bookmarkEnd w:id="32"/>
    <w:bookmarkStart w:id="33" w:name="arizona-2.259-maf"/>
    <w:p>
      <w:pPr>
        <w:pStyle w:val="Heading5"/>
      </w:pPr>
      <w:r>
        <w:t xml:space="preserve">Arizona:</w:t>
      </w:r>
      <w:r>
        <w:t xml:space="preserve"> </w:t>
      </w:r>
      <w:rPr>
        <w:color w:val="0070C0"/>
      </w:rPr>
      <w:r>
        <w:t xml:space="preserve">2.259 maf</w:t>
      </w:r>
    </w:p>
    <w:p>
      <w:pPr>
        <w:numPr>
          <w:ilvl w:val="0"/>
          <w:numId w:val="1027"/>
        </w:numPr>
      </w:pPr>
      <w:r>
        <w:t xml:space="preserve">CAP annual diversion of 980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205-maf"/>
    <w:p>
      <w:pPr>
        <w:pStyle w:val="Heading5"/>
      </w:pPr>
      <w:r>
        <w:t xml:space="preserve">Nevada:</w:t>
      </w:r>
      <w:r>
        <w:t xml:space="preserve"> </w:t>
      </w:r>
      <w:rPr>
        <w:color w:val="0070C0"/>
      </w:rPr>
      <w:r>
        <w:t xml:space="preserve">0.205 maf</w:t>
      </w:r>
    </w:p>
    <w:p>
      <w:pPr>
        <w:numPr>
          <w:ilvl w:val="0"/>
          <w:numId w:val="1031"/>
        </w:numPr>
      </w:pPr>
      <w:r>
        <w:t xml:space="preserve">SNWA annual use of 196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78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2.142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648,710</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1,127,504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906,626</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516,704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586,904</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2,425,145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2,327,423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2,142,240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2025-06-03T23:00:02Z</dcterms:created>
  <dcterms:modified xsi:type="dcterms:W3CDTF">2025-06-03T23:00:02Z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April 2025: Probable Min 24-Month Study</vt:lpwstr>
  </property>
  <property fmtid="{D5CDD505-2E9C-101B-9397-08002B2CF9AE}" pid="10" name="toc-title">
    <vt:lpwstr>Table of contents</vt:lpwstr>
  </property>
</Properties>
</file>