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X — Core Constant Provider Specification</w:t>
      </w:r>
    </w:p>
    <w:p>
      <w:pPr>
        <w:pStyle w:val="Heading2"/>
      </w:pPr>
      <w:r>
        <w:t>Status</w:t>
      </w:r>
    </w:p>
    <w:p>
      <w:r>
        <w:t>Normatief — Enige toegestane α-toegang.</w:t>
      </w:r>
    </w:p>
    <w:p>
      <w:pPr>
        <w:pStyle w:val="Heading2"/>
      </w:pPr>
      <w:r>
        <w:t>1. Enige Publieke Interface</w:t>
      </w:r>
    </w:p>
    <w:p>
      <w:r>
        <w:t>resolve_alpha(unlock_key_b: Optional[str]) -&gt; Decimal</w:t>
        <w:br/>
        <w:t>Geen andere toegang is toegestaan.</w:t>
      </w:r>
    </w:p>
    <w:p>
      <w:pPr>
        <w:pStyle w:val="Heading2"/>
      </w:pPr>
      <w:r>
        <w:t>2. Verantwoordelijkheden</w:t>
      </w:r>
    </w:p>
    <w:p>
      <w:r>
        <w:t>Blob decoderen, HMAC verifiëren, key afleiden, ontsleutelen, Decimal valideren, retourneren.</w:t>
      </w:r>
    </w:p>
    <w:p>
      <w:pPr>
        <w:pStyle w:val="Heading2"/>
      </w:pPr>
      <w:r>
        <w:t>3. Verboden Gedrag</w:t>
      </w:r>
    </w:p>
    <w:p>
      <w:r>
        <w:t>Geen logging van waarde, geen literal fallback, geen netwerk, geen file IO, geen environment scanning behalve unlock key.</w:t>
      </w:r>
    </w:p>
    <w:p>
      <w:pPr>
        <w:pStyle w:val="Heading2"/>
      </w:pPr>
      <w:r>
        <w:t>4. Import-Time Check</w:t>
      </w:r>
    </w:p>
    <w:p>
      <w:r>
        <w:t>Bij import: verify(blob, tag, keyA). Bij mismatch: TamperDetectedError en stop.</w:t>
      </w:r>
    </w:p>
    <w:p>
      <w:pPr>
        <w:pStyle w:val="Heading2"/>
      </w:pPr>
      <w:r>
        <w:t>5. Precisiebeleid</w:t>
      </w:r>
    </w:p>
    <w:p>
      <w:r>
        <w:t>Decimal-first representatie. Float alleen voor berekening, niet voor opslag.</w:t>
      </w:r>
    </w:p>
    <w:p>
      <w:pPr>
        <w:pStyle w:val="Heading2"/>
      </w:pPr>
      <w:r>
        <w:t>6. Decoy Policy</w:t>
      </w:r>
    </w:p>
    <w:p>
      <w:r>
        <w:t>Alleen toegestaan indien expliciet geconfigureerd. Nooit stilzwijgend.</w:t>
      </w:r>
    </w:p>
    <w:p>
      <w:pPr>
        <w:pStyle w:val="Heading2"/>
      </w:pPr>
      <w:r>
        <w:t>7. Thread Safety</w:t>
      </w:r>
    </w:p>
    <w:p>
      <w:r>
        <w:t>Provider moet stateless en side-effect vrij zijn.</w:t>
      </w:r>
    </w:p>
    <w:p>
      <w:pPr>
        <w:pStyle w:val="Heading2"/>
      </w:pPr>
      <w:r>
        <w:t>8. Integratie Contract</w:t>
      </w:r>
    </w:p>
    <w:p>
      <w:r>
        <w:t>Alle modules importeren via alpha_adapter, nooit interne provider-functies.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