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X — Sealed Constant Design Specification</w:t>
      </w:r>
    </w:p>
    <w:p>
      <w:pPr>
        <w:pStyle w:val="Heading2"/>
      </w:pPr>
      <w:r>
        <w:t>Status</w:t>
      </w:r>
    </w:p>
    <w:p>
      <w:r>
        <w:t>Canonical Foundation Layer</w:t>
      </w:r>
    </w:p>
    <w:p>
      <w:pPr>
        <w:pStyle w:val="Heading2"/>
      </w:pPr>
      <w:r>
        <w:t>Doel</w:t>
      </w:r>
    </w:p>
    <w:p>
      <w:r>
        <w:t>Bescherming van de kernconstante zonder zichtbaarheid in broncode of logs.</w:t>
      </w:r>
    </w:p>
    <w:p>
      <w:pPr>
        <w:pStyle w:val="Heading2"/>
      </w:pPr>
      <w:r>
        <w:t>1. Doel</w:t>
      </w:r>
    </w:p>
    <w:p>
      <w:r>
        <w:t>De sealed constant architectuur beschermt de kernwaarde (α) tegen directe zichtbaarheid in code, string-scanning, reverse engineering op literal niveau, log-lekkage en debug-output. Runtime mag de waarde gebruiken, maar de broncode mag de waarde nooit bevatten.</w:t>
      </w:r>
    </w:p>
    <w:p>
      <w:pPr>
        <w:pStyle w:val="Heading2"/>
      </w:pPr>
      <w:r>
        <w:t>2. Kernprincipe</w:t>
      </w:r>
    </w:p>
    <w:p>
      <w:r>
        <w:t>De constante wordt offline versleuteld, opgeslagen als ciphertext blob, voorzien van integriteitstag en alleen ontsleutelbaar met Key-B, verifieerbaar met Key-A.</w:t>
      </w:r>
    </w:p>
    <w:p>
      <w:pPr>
        <w:pStyle w:val="Heading2"/>
      </w:pPr>
      <w:r>
        <w:t>3. Architectuurmodel</w:t>
      </w:r>
    </w:p>
    <w:p>
      <w:r>
        <w:t>REAL CONSTANT → offline encryptie → ciphertext blob + salt + tag → embedded provider → resolve_alpha().</w:t>
      </w:r>
    </w:p>
    <w:p>
      <w:pPr>
        <w:pStyle w:val="Heading2"/>
      </w:pPr>
      <w:r>
        <w:t>4. Beveiligingslagen</w:t>
      </w:r>
    </w:p>
    <w:p>
      <w:r>
        <w:t>Laag 1: Encryptie (Fernet/AES, PBKDF2, hoge iteraties, salt).</w:t>
        <w:br/>
        <w:t>Laag 2: Integriteit (HMAC met Key-A, tamper detectie bij import).</w:t>
        <w:br/>
        <w:t>Laag 3: Toegang (één entrypoint, geen directe variabelen, geen config fallback).</w:t>
      </w:r>
    </w:p>
    <w:p>
      <w:pPr>
        <w:pStyle w:val="Heading2"/>
      </w:pPr>
      <w:r>
        <w:t>5. Ontwerpregels</w:t>
      </w:r>
    </w:p>
    <w:p>
      <w:r>
        <w:t>De sealed constant mag nooit als literal voorkomen, niet via config of netwerk komen, niet in logs, exceptions of debug-output verschijnen.</w:t>
      </w:r>
    </w:p>
    <w:p>
      <w:pPr>
        <w:pStyle w:val="Heading2"/>
      </w:pPr>
      <w:r>
        <w:t>6. Runtime Gedrag</w:t>
      </w:r>
    </w:p>
    <w:p>
      <w:r>
        <w:t>Zonder Key-B: fail-fast of expliciete decoy policy. Met verkeerde Key-B: decryptie faalt zonder fallback.</w:t>
      </w:r>
    </w:p>
    <w:p>
      <w:pPr>
        <w:pStyle w:val="Heading2"/>
      </w:pPr>
      <w:r>
        <w:t>7. Audit Eigenschappen</w:t>
      </w:r>
    </w:p>
    <w:p>
      <w:r>
        <w:t>Provider moet import-time integriteitscheck doen, deterministisch en stateless zijn, zonder plaintext caching buiten de functie.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