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ascii="Tahoma" w:hAnsi="Tahoma" w:cs="Tahoma" w:eastAsia="Tahoma"/>
          <w:i w:val="0"/>
          <w:color w:val="0B7A4B"/>
          <w:sz w:val="34"/>
          <w:szCs w:val="34"/>
          <w:b w:val="1"/>
          <w:bCs w:val="1"/>
        </w:rPr>
        <w:t>สัญญาจ้างพัฒนาซอฟต์แวร์และให้บริการ</w:t>
      </w:r>
    </w:p>
    <w:p>
      <w:pPr>
        <w:spacing w:after="160" w:before="0" w:line="300" w:lineRule="auto"/>
        <w:jc w:val="center"/>
      </w:pPr>
      <w:r>
        <w:rPr>
          <w:rFonts w:ascii="Tahoma" w:hAnsi="Tahoma" w:cs="Tahoma" w:eastAsia="Tahoma"/>
          <w:i w:val="0"/>
          <w:color w:val="1F2937"/>
          <w:sz w:val="25"/>
          <w:szCs w:val="25"/>
          <w:b w:val="1"/>
          <w:bCs w:val="1"/>
        </w:rPr>
        <w:t>(Software Development and Services Agreement)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สัญญาเลขที่: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โครงการ: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ระบบจองคิวรับ–ส่งสินค้าหน้าคลัง (Fameline Dock Queue)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สถานะเอกสาร: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ร่างฉบับที่ 0.1 ลงวันที่ 30 กันยายน 2569 — เพื่อการพิจารณา ยังไม่มีผลผูกพัน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สัญญาฉบับนี้ทำขึ้น ณ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เมื่อวันที่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("วันที่สัญญามีผลบังคับ") ระหว่าง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(1) บริษัท โกอะลอง จำกัด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ทะเบียนนิติบุคคลเลขที่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สำนักงานตั้งอยู่เลขที่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โดย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ผู้มีอำนาจลงนามผูกพันบริษัท ซึ่งต่อไปในสัญญานี้เรียกว่า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"ผู้ให้บริการ"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ฝ่ายหนึ่ง กับ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(2) บริษัท เฟมไลน์ โปรดักส์ จำกัด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ทะเบียนนิติบุคคลเลขที่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สำนักงานตั้งอยู่เลขที่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โดย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ผู้มีอำนาจลงนามผูกพันบริษัท ซึ่งต่อไปในสัญญานี้เรียกว่า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"ลูกค้า"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อีกฝ่ายหนึ่ง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ผู้ให้บริการและลูกค้า ต่อไปเรียกรวมกันว่า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"คู่สัญญา"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และเรียกแยกกันว่า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"คู่สัญญาฝ่ายหนึ่ง"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อารัมภบท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(ก) ผู้ให้บริการประกอบธุรกิจออกแบบ พัฒนา และดูแลรักษาระบบซอฟต์แวร์ และเป็นเจ้าของแพลตฟอร์มจองคิว GoAlong Queue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(ข) ลูกค้าประสงค์ว่าจ้างผู้ให้บริการพัฒนา ปรับแต่ง ติดตั้ง และส่งมอบระบบจองคิวรับ–ส่งสินค้าหน้าคลัง เพื่อใช้ในกิจการของลูกค้า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(ค) ในการปฏิบัติตามสัญญา คู่สัญญาจะเปิดเผยข้อมูลที่เป็นความลับต่อกัน และผู้ให้บริการจะเข้าถึงและประมวลผลข้อมูลของลูกค้า รวมถึงข้อมูลส่วนบุคคลของคู่ค้า พนักงาน และพนักงานขับรถ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คู่สัญญาจึงตกลงกันดังต่อไปนี้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1. คำนิยามและการตีความ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1.1 ในสัญญานี้ เว้นแต่บริบทจะกำหนดเป็นอย่างอื่น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05"/>
        <w:gridCol w:w="5449"/>
      </w:tblGrid>
      <w:tr>
        <w:trPr>
          <w:cantSplit w:val="true"/>
          <w:tblHeader w:val="true"/>
        </w:trPr>
        <w:tc>
          <w:tcPr>
            <w:tcW w:type="dxa" w:w="3905"/>
            <w:shd w:val="clear" w:color="auto" w:fill="0B7A4B"/>
          </w:tcPr>
          <w:p>
            <w:pPr>
              <w:keepNext w:val="0"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คำ</w:t>
            </w:r>
          </w:p>
        </w:tc>
        <w:tc>
          <w:tcPr>
            <w:tcW w:type="dxa" w:w="5449"/>
            <w:shd w:val="clear" w:color="auto" w:fill="0B7A4B"/>
          </w:tcPr>
          <w:p>
            <w:pPr>
              <w:keepNext w:val="0"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ความหมาย</w:t>
            </w:r>
          </w:p>
        </w:tc>
      </w:tr>
      <w:tr>
        <w:trPr>
          <w:cantSplit w:val="true"/>
        </w:trPr>
        <w:tc>
          <w:tcPr>
            <w:tcW w:type="dxa" w:w="390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"สัญญา"</w:t>
            </w:r>
          </w:p>
        </w:tc>
        <w:tc>
          <w:tcPr>
            <w:tcW w:type="dxa" w:w="5449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สัญญาฉบับนี้ รวมถึงเอกสารแนบท้ายทุกฉบับ และเอกสารขอเปลี่ยนแปลงงานที่คู่สัญญาลงนามแล้ว</w:t>
            </w:r>
          </w:p>
        </w:tc>
      </w:tr>
      <w:tr>
        <w:trPr>
          <w:cantSplit w:val="true"/>
        </w:trPr>
        <w:tc>
          <w:tcPr>
            <w:tcW w:type="dxa" w:w="3905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"ขอบเขตงาน" หรือ "SOW"</w:t>
            </w:r>
          </w:p>
        </w:tc>
        <w:tc>
          <w:tcPr>
            <w:tcW w:type="dxa" w:w="5449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เอกสารแนบท้าย 1 และฉบับที่ออกเพิ่มเติมภายหลัง</w:t>
            </w:r>
          </w:p>
        </w:tc>
      </w:tr>
      <w:tr>
        <w:trPr>
          <w:cantSplit w:val="true"/>
        </w:trPr>
        <w:tc>
          <w:tcPr>
            <w:tcW w:type="dxa" w:w="390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"ระบบ"</w:t>
            </w:r>
          </w:p>
        </w:tc>
        <w:tc>
          <w:tcPr>
            <w:tcW w:type="dxa" w:w="5449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ซอฟต์แวร์ที่ผู้ให้บริการพัฒนาและส่งมอบตาม SOW</w:t>
            </w:r>
          </w:p>
        </w:tc>
      </w:tr>
      <w:tr>
        <w:trPr>
          <w:cantSplit w:val="true"/>
        </w:trPr>
        <w:tc>
          <w:tcPr>
            <w:tcW w:type="dxa" w:w="3905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"ผลงานส่งมอบ"</w:t>
            </w:r>
          </w:p>
        </w:tc>
        <w:tc>
          <w:tcPr>
            <w:tcW w:type="dxa" w:w="5449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ระบบ รหัสต้นฉบับ (Source Code) เอกสาร และสิ่งอื่นที่ระบุให้ส่งมอบใน SOW</w:t>
            </w:r>
          </w:p>
        </w:tc>
      </w:tr>
      <w:tr>
        <w:trPr>
          <w:cantSplit w:val="true"/>
        </w:trPr>
        <w:tc>
          <w:tcPr>
            <w:tcW w:type="dxa" w:w="390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"ทรัพย์สินทางปัญญาเดิม" (Background IP)</w:t>
            </w:r>
          </w:p>
        </w:tc>
        <w:tc>
          <w:tcPr>
            <w:tcW w:type="dxa" w:w="5449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ซอฟต์แวร์ แพลตฟอร์ม ไลบรารี เครื่องมือ แม่แบบ ความรู้ความชำนาญ และส่วนประกอบที่คู่สัญญาฝ่ายใดเป็นเจ้าของหรือพัฒนาขึ้นก่อนหรือนอกเหนือจากสัญญานี้ สำหรับผู้ให้บริการให้รวมถึงแพลตฟอร์ม GoAlong Queue</w:t>
            </w:r>
          </w:p>
        </w:tc>
      </w:tr>
      <w:tr>
        <w:trPr>
          <w:cantSplit w:val="true"/>
        </w:trPr>
        <w:tc>
          <w:tcPr>
            <w:tcW w:type="dxa" w:w="3905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"ผลงานเฉพาะ" (Foreground IP)</w:t>
            </w:r>
          </w:p>
        </w:tc>
        <w:tc>
          <w:tcPr>
            <w:tcW w:type="dxa" w:w="5449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ส่วนของระบบที่พัฒนาขึ้นใหม่เพื่อลูกค้าโดยเฉพาะตามสัญญานี้ ตามรายการใน SOW</w:t>
            </w:r>
          </w:p>
        </w:tc>
      </w:tr>
      <w:tr>
        <w:trPr>
          <w:cantSplit w:val="true"/>
        </w:trPr>
        <w:tc>
          <w:tcPr>
            <w:tcW w:type="dxa" w:w="390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"ข้อมูลของลูกค้า"</w:t>
            </w:r>
          </w:p>
        </w:tc>
        <w:tc>
          <w:tcPr>
            <w:tcW w:type="dxa" w:w="5449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ข้อมูลทั้งหมดที่ลูกค้า ผู้ใช้งานของลูกค้า หรือระบบของลูกค้า นำเข้า ส่ง หรือสร้างขึ้นในระบบ รวมถึงข้อมูลใบสั่งขาย ใบสั่งซื้อ ข้อมูลคู่ค้า และข้อมูลส่วนบุคคล</w:t>
            </w:r>
          </w:p>
        </w:tc>
      </w:tr>
      <w:tr>
        <w:trPr>
          <w:cantSplit w:val="true"/>
        </w:trPr>
        <w:tc>
          <w:tcPr>
            <w:tcW w:type="dxa" w:w="3905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"ข้อมูลที่เป็นความลับ"</w:t>
            </w:r>
          </w:p>
        </w:tc>
        <w:tc>
          <w:tcPr>
            <w:tcW w:type="dxa" w:w="5449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มีความหมายตามเอกสารแนบท้าย 2</w:t>
            </w:r>
          </w:p>
        </w:tc>
      </w:tr>
      <w:tr>
        <w:trPr>
          <w:cantSplit w:val="true"/>
        </w:trPr>
        <w:tc>
          <w:tcPr>
            <w:tcW w:type="dxa" w:w="390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"ข้อมูลส่วนบุคคล"</w:t>
            </w:r>
          </w:p>
        </w:tc>
        <w:tc>
          <w:tcPr>
            <w:tcW w:type="dxa" w:w="5449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มีความหมายตามพระราชบัญญัติคุ้มครองข้อมูลส่วนบุคคล พ.ศ. 2562 ("PDPA")</w:t>
            </w:r>
          </w:p>
        </w:tc>
      </w:tr>
      <w:tr>
        <w:trPr>
          <w:cantSplit w:val="true"/>
        </w:trPr>
        <w:tc>
          <w:tcPr>
            <w:tcW w:type="dxa" w:w="3905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"เอกสารขอเปลี่ยนแปลงงาน" หรือ "CR"</w:t>
            </w:r>
          </w:p>
        </w:tc>
        <w:tc>
          <w:tcPr>
            <w:tcW w:type="dxa" w:w="5449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เอกสารตามข้อ 5</w:t>
            </w:r>
          </w:p>
        </w:tc>
      </w:tr>
      <w:tr>
        <w:trPr>
          <w:cantSplit w:val="true"/>
        </w:trPr>
        <w:tc>
          <w:tcPr>
            <w:tcW w:type="dxa" w:w="390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"วันทำการ"</w:t>
            </w:r>
          </w:p>
        </w:tc>
        <w:tc>
          <w:tcPr>
            <w:tcW w:type="dxa" w:w="5449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วันจันทร์ถึงวันศุกร์ เวลา 09.00–18.00 น. ไม่รวมวันหยุดราชการและวันหยุดนักขัตฤกษ์ของประเทศไทย</w:t>
            </w:r>
          </w:p>
        </w:tc>
      </w:tr>
      <w:tr>
        <w:trPr>
          <w:cantSplit w:val="true"/>
        </w:trPr>
        <w:tc>
          <w:tcPr>
            <w:tcW w:type="dxa" w:w="3905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"วันขึ้นระบบใช้งานจริง" (Go-Live)</w:t>
            </w:r>
          </w:p>
        </w:tc>
        <w:tc>
          <w:tcPr>
            <w:tcW w:type="dxa" w:w="5449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วันที่ระบบเปิดใช้งานจริงกับข้อมูลจริงของลูกค้าเป็นวันแรก</w:t>
            </w:r>
          </w:p>
        </w:tc>
      </w:tr>
      <w:tr>
        <w:trPr>
          <w:cantSplit w:val="true"/>
        </w:trPr>
        <w:tc>
          <w:tcPr>
            <w:tcW w:type="dxa" w:w="390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"ลายลักษณ์อักษร"</w:t>
            </w:r>
          </w:p>
        </w:tc>
        <w:tc>
          <w:tcPr>
            <w:tcW w:type="dxa" w:w="5449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รวมถึงจดหมายอิเล็กทรอนิกส์ และข้อความผ่านแอปพลิเคชันสนทนาในช่องทางที่ระบุตามข้อ 20</w:t>
            </w:r>
          </w:p>
        </w:tc>
      </w:tr>
    </w:tbl>
    <w:p>
      <w:pPr>
        <w:spacing w:after="80" w:before="0" w:line="300" w:lineRule="auto"/>
      </w:pP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1.2 หัวข้อของข้อสัญญามีไว้เพื่อความสะดวกในการอ้างอิง ไม่มีผลต่อการตีความ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1.3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ลำดับความสำคัญของเอกสาร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หากข้อความขัดหรือแย้งกัน ให้ใช้บังคับตามลำดับดังนี้ (1) เอกสารแนบท้าย 3 (ข้อตกลงประมวลผลข้อมูลส่วนบุคคล) เฉพาะเรื่องข้อมูลส่วนบุคคล (2) ตัวสัญญา (3) เอกสารแนบท้าย 2 (4) เอกสารแนบท้าย 1 และ CR โดยฉบับที่ลงนามหลังสุดมีผลเหนือฉบับก่อน (5) เอกสารอื่น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2. ขอบเขตของการให้บริการ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2.1 ผู้ให้บริการตกลงพัฒนา ปรับแต่ง ติดตั้ง ทดสอบ ฝึกอบรม และส่งมอบระบบ ตามรายละเอียด กำหนดเวลา และเกณฑ์การรับมอบใน SOW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2.2 ขอบเขตงานเป็นไปตาม SOW เท่านั้น งานที่มิได้ระบุไว้โดยชัดแจ้งใน SOW ให้ถือว่าอยู่นอกขอบเขตของสัญญา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2.3 ผู้ให้บริการจะปฏิบัติงานด้วยความรู้ ความชำนาญ และความระมัดระวังตามมาตรฐานวิชาชีพที่ยอมรับโดยทั่วไปในอุตสาหกรรมซอฟต์แวร์ โดยบุคลากรที่มีคุณสมบัติเหมาะสม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2.4 ผู้ให้บริการอาจใช้ผู้รับจ้างช่วงได้ โดยยังคงรับผิดต่อลูกค้าในการกระทำของผู้รับจ้างช่วงเสมือนเป็นการกระทำของตนเอง ทั้งนี้ ผู้รับจ้างช่วงที่เข้าถึงข้อมูลส่วนบุคคลต้องเป็นไปตามเอกสารแนบท้าย 3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2.5 คู่สัญญาอาจตกลงทำ SOW ฉบับเพิ่มเติมสำหรับงานระยะถัดไปหรือบริการดูแลระบบ (Maintenance Agreement: MA) โดย SOW แต่ละฉบับอยู่ภายใต้เงื่อนไขของสัญญานี้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3. หน้าที่ของลูกค้า และการเลื่อนกำหนดเวลา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3.1 ลูกค้ามีหน้าที่ส่งมอบข้อมูล เนื้อหา สิทธิ์เข้าถึงระบบ บัญชีบริการภายนอก และคำวินิจฉัย ตามรายการและกำหนดเวลาใน SOW และแต่งตั้งผู้ประสานงานที่มีอำนาจตัดสินใจในนามลูกค้า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3.2 หากลูกค้าส่งมอบหรือให้คำวินิจฉัยล่าช้ากว่ากำหนด กำหนดส่งมอบงานของผู้ให้บริการให้เลื่อนออกไปเท่ากับจำนวนวันที่ล่าช้าโดยอัตโนมัติ และผู้ให้บริการไม่ต้องรับผิดในความล่าช้าดังกล่าว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3.3 หากความล่าช้าตามข้อ 3.2 เกินกว่า 15 วันทำการติดต่อกัน ผู้ให้บริการมีสิทธิเรียกเก็บค่าใช้จ่ายจากการที่ทีมงานต้องหยุดรอ ตามอัตราที่ระบุใน SOW และมีสิทธิจัดสรรบุคลากรใหม่ โดยกำหนดเวลาส่งมอบให้ตกลงกันใหม่เป็นลายลักษณ์อักษร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3.4 ลูกค้ารับรองว่ามีสิทธิโดยชอบด้วยกฎหมายในข้อมูลของลูกค้าที่ส่งมอบให้ผู้ให้บริการ และการที่ผู้ให้บริการใช้ข้อมูลดังกล่าวตามสัญญาไม่ละเมิดสิทธิของบุคคลใด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4. การส่งมอบและการรับมอบงาน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4.1 เมื่อผู้ให้บริการส่งมอบงานแต่ละงวด ลูกค้ามีเวลาตรวจรับ 7 วันทำการนับจากวันที่ได้รับหนังสือแจ้งส่งมอบ ("ระยะเวลาตรวจรับ")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4.2 หากลูกค้าไม่แจ้งข้อบกพร่องเป็นลายลักษณ์อักษรภายในระยะเวลาตรวจรับ หรือนำระบบไปใช้งานจริง ให้ถือว่าลูกค้ารับมอบงานงวดนั้นแล้ว และค่าบริการงวดนั้นถึงกำหนดชำระ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4.3 "ข้อบกพร่อง" หมายถึงเฉพาะกรณีที่ระบบทำงานไม่ตรงตาม SOW ความต้องการที่อยู่นอกเหนือ SOW ให้ดำเนินการตามข้อ 5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4.4 เมื่อได้รับแจ้งข้อบกพร่อง ผู้ให้บริการจะแก้ไขและส่งมอบใหม่ภายในระยะเวลาอันสมควร การตรวจรับงานแต่ละงวดกระทำได้ไม่เกิน 2 รอบ เมื่อข้อบกพร่องที่แจ้งไว้ได้รับการแก้ไขครบถ้วนแล้ว ให้ถือว่าลูกค้ารับมอบงาน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4.5 ข้อบกพร่องที่ไม่กระทบการใช้งานหลักของระบบ ไม่เป็นเหตุให้ปฏิเสธการรับมอบ โดยผู้ให้บริการจะแก้ไขภายในระยะเวลารับประกัน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5. การเปลี่ยนแปลงขอบเขตงาน (Change Control)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5.1 การเปลี่ยนแปลง เพิ่มเติม หรือลดขอบเขตงานภายหลังวันที่สัญญามีผลบังคับ ต้องจัดทำเป็นเอกสารขอเปลี่ยนแปลงงาน ระบุขอบเขตที่เปลี่ยนแปลง ระยะเวลาที่เพิ่มขึ้นหรือลดลง และค่าบริการที่เพิ่มขึ้นหรือลดลง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5.2 CR มีผลผูกพันเมื่อผู้มีอำนาจของคู่สัญญาทั้งสองฝ่ายให้ความเห็นชอบเป็นลายลักษณ์อักษร ผู้ให้บริการไม่มีหน้าที่เริ่มงานตาม CR ก่อนได้รับความเห็นชอบดังกล่าว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5.3 การตกลงด้วยวาจาไม่ผูกพันคู่สัญญา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5.4 หากมูลค่า CR สะสมเกินร้อยละ 20 ของค่าบริการตาม SOW ฉบับนั้น คู่สัญญาจะร่วมกันทบทวนและกำหนดขอบเขต กำหนดเวลา และค่าบริการของ SOW ฉบับนั้นใหม่ทั้งฉบับ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6. ค่าบริการและการชำระเงิน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6.1 ลูกค้าตกลงชำระค่าบริการตามจำนวนและงวดที่ระบุใน SOW ค่าบริการเป็นราคาเหมา (Fixed Price) สำหรับขอบเขตงานใน SOW เท่านั้น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6.2 ค่าบริการยังไม่รวมภาษีมูลค่าเพิ่ม ลูกค้าเป็นผู้หักภาษี ณ ที่จ่ายตามอัตราที่กฎหมายกำหนด และออกหนังสือรับรองการหักภาษี ณ ที่จ่ายให้ผู้ให้บริการทุกงวด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6.3 ลูกค้าจะชำระเงินภายใน 15 วันนับจากวันที่ได้รับใบแจ้งหนี้ โดยโอนเข้าบัญชีที่ผู้ให้บริการแจ้งเป็นลายลักษณ์อักษร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6.4 หากลูกค้าผิดนัดชำระ ลูกค้าตกลงชำระดอกเบี้ยผิดนัดในอัตราร้อยละ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ต่อปีของจำนวนที่ค้างชำระ นับจากวันถึงกำหนดจนกว่าจะชำระครบถ้วน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6.5 หากลูกค้าค้างชำระเกิน 30 วันนับจากวันถึงกำหนด ผู้ให้บริการมีสิทธิระงับการปฏิบัติงานทั้งหมดหรือบางส่วนจนกว่าจะได้รับชำระ โดยบอกกล่าวล่วงหน้าเป็นลายลักษณ์อักษรไม่น้อยกว่า 7 วัน และกำหนดส่งมอบให้เลื่อนออกไปตามจำนวนวันที่ระงับงาน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6.6 ค่าบริการของผู้ให้บริการภายนอก (เช่น ค่าเช่าเครื่องแม่ข่าย ฐานข้อมูล โดเมน บริการส่งข้อความ) ลูกค้าเป็นผู้รับภาระและชำระตรงต่อผู้ให้บริการภายนอกนั้น เว้นแต่ SOW ระบุเป็นอย่างอื่น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6.7 ค่าอากรแสตมป์ตามสัญญานี้ ให้เป็นไปตามประมวลรัษฎากร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7. กำหนดเวลาและค่าปรับ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7.1 ผู้ให้บริการจะส่งมอบงานตามกำหนดเวลาใน SOW ทั้งนี้ ภายใต้ข้อ 3 ข้อ 5 ข้อ 6.5 และข้อ 17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7.2 หากผู้ให้บริการส่งมอบงานงวดสุดท้ายล่าช้ากว่ากำหนด โดยมิใช่เหตุจากลูกค้า ผู้ให้บริการภายนอก หรือเหตุสุดวิสัย ผู้ให้บริการตกลงชำระค่าปรับในอัตราร้อยละ 0.1 ของค่าบริการตาม SOW ฉบับนั้นต่อวัน รวมแล้วไม่เกินร้อยละ 10 ของค่าบริการตาม SOW ฉบับนั้น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7.3 ค่าปรับตามข้อ 7.2 เป็นค่าเสียหายเพียงประการเดียวที่ลูกค้าเรียกได้สำหรับความล่าช้า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8. ทรัพย์สินทางปัญญา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8.1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ทรัพย์สินทางปัญญาเดิม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คู่สัญญาแต่ละฝ่ายคงเป็นเจ้าของทรัพย์สินทางปัญญาเดิมของตน สัญญานี้ไม่มีผลเป็นการโอนสิทธิดังกล่าว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8.2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ผลงานเฉพาะ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ลิขสิทธิ์และสิทธิในทรัพย์สินทางปัญญาในผลงานเฉพาะ ตกเป็นของลูกค้าเมื่อลูกค้าชำระค่าบริการตาม SOW ฉบับนั้นครบถ้วนทุกงวดแล้วเท่านั้น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8.3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สิทธิใช้งานทรัพย์สินทางปัญญาเดิมของผู้ให้บริการ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เมื่อชำระค่าบริการครบถ้วน ผู้ให้บริการให้สิทธิแก่ลูกค้าในการใช้ ทำซ้ำ ดัดแปลง และบำรุงรักษาทรัพย์สินทางปัญญาเดิมของผู้ให้บริการที่ประกอบอยู่ในระบบ (รวมถึงรหัสต้นฉบับ) แบบไม่จำกัดระยะเวลา ไม่ผูกขาด ไม่มีค่าสิทธิเพิ่มเติม และไม่อาจเพิกถอนได้เว้นแต่ลูกค้าผิดข้อ 8.4 เพื่อใช้ภายในกิจการของลูกค้าและบริษัทในเครือของลูกค้าเท่านั้น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8.4 ลูกค้าจะไม่จำหน่าย ให้เช่า ให้สิทธิช่วง หรือนำทรัพย์สินทางปัญญาเดิมของผู้ให้บริการไปให้บริการแก่บุคคลภายนอกในเชิงพาณิชย์ ไม่ว่าทั้งหมดหรือบางส่วน เว้นแต่ได้รับความยินยอมเป็นลายลักษณ์อักษรจากผู้ให้บริการ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8.5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ซอฟต์แวร์ของบุคคลภายนอกและโอเพนซอร์ส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ให้เป็นไปตามเงื่อนไขสิทธิใช้งานของซอฟต์แวร์นั้น ผู้ให้บริการจะจัดทำรายการซอฟต์แวร์ดังกล่าวส่งมอบพร้อมผลงานส่งมอบ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8.6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ข้อมูลของลูกค้า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เป็นกรรมสิทธิ์ของลูกค้าแต่ผู้เดียวตลอดเวลา ผู้ให้บริการไม่มีสิทธิใด ๆ ในข้อมูลของลูกค้า นอกจากสิทธิใช้เท่าที่จำเป็นเพื่อปฏิบัติตามสัญญา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8.7 ผู้ให้บริการสงวนสิทธิใช้ความรู้ ประสบการณ์ แนวคิด และเทคนิคทั่วไปที่ได้จากการปฏิบัติงาน ในงานอื่นได้ โดยไม่เปิดเผยข้อมูลที่เป็นความลับหรือข้อมูลของลูกค้า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8.8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การชดใช้กรณีละเมิดทรัพย์สินทางปัญญา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ผู้ให้บริการรับรองว่าผลงานเฉพาะและทรัพย์สินทางปัญญาเดิมของผู้ให้บริการไม่ละเมิดลิขสิทธิ์หรือความลับทางการค้าของบุคคลภายนอก หากมีบุคคลภายนอกเรียกร้องต่อลูกค้าด้วยเหตุดังกล่าว ผู้ให้บริการจะเข้าต่อสู้และชดใช้ค่าเสียหายตามคำพิพากษาถึงที่สุดหรือสัญญาประนีประนอมที่ผู้ให้บริการเห็นชอบ โดยมีเงื่อนไขว่าลูกค้าแจ้งให้ทราบโดยไม่ชักช้า ให้ผู้ให้บริการเป็นผู้ควบคุมการต่อสู้คดี และให้ความร่วมมือตามสมควร ข้อนี้ไม่ใช้กับการละเมิดที่เกิดจากข้อมูลหรือวัสดุที่ลูกค้าจัดหา หรือการดัดแปลงที่มิได้กระทำโดยผู้ให้บริการ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9. การรักษาความลับ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9.1 คู่สัญญาตกลงผูกพันตามข้อตกลงรักษาความลับในเอกสารแนบท้าย 2 ซึ่งเป็นส่วนหนึ่งของสัญญานี้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9.2 หน้าที่รักษาความลับมีผลตลอดอายุสัญญาและต่อไปอีก 3 ปีนับจากวันที่สัญญาสิ้นสุด เว้นแต่ข้อมูลที่เป็นความลับทางการค้าและข้อมูลส่วนบุคคล ให้มีผลต่อไปตราบเท่าที่ข้อมูลนั้นยังคงสถานะดังกล่าว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10. การคุ้มครองข้อมูลส่วนบุคคลและข้อมูลของลูกค้า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10.1 คู่สัญญารับทราบว่า ในการประมวลผลข้อมูลส่วนบุคคลในระบบ ลูกค้าเป็น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ผู้ควบคุมข้อมูลส่วนบุคคล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และผู้ให้บริการเป็น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ผู้ประมวลผลข้อมูลส่วนบุคคล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ตาม PDPA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10.2 คู่สัญญาตกลงผูกพันตามข้อตกลงประมวลผลข้อมูลส่วนบุคคลในเอกสารแนบท้าย 3 ซึ่งเป็นข้อตกลงตามมาตรา 40 วรรคสาม แห่ง PDPA และเป็นส่วนหนึ่งของสัญญานี้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10.3 ผู้ให้บริการจะไม่ใช้ ขาย เปิดเผย หรือแสวงหาประโยชน์จากข้อมูลของลูกค้าเพื่อวัตถุประสงค์อื่นนอกจากการปฏิบัติตามสัญญา และจะไม่นำข้อมูลของลูกค้าไปใช้ฝึกสอนแบบจำลองปัญญาประดิษฐ์หรือจัดทำฐานข้อมูลเพื่อประโยชน์ของตนเองหรือบุคคลอื่น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11. ความมั่นคงปลอดภัยของระบบ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11.1 ผู้ให้บริการจะพัฒนาระบบตามแนวปฏิบัติด้านความมั่นคงปลอดภัยที่ยอมรับโดยทั่วไป รวมถึงการควบคุมสิทธิ์เข้าถึงตามบทบาท การเข้ารหัสข้อมูลระหว่างการรับส่ง การตรวจสอบความถูกต้องของข้อมูลนำเข้า การบันทึกประวัติการใช้งาน และการแยกสภาพแวดล้อมทดสอบออกจากสภาพแวดล้อมใช้งานจริง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11.2 ลูกค้ารับผิดชอบการรักษาความปลอดภัยของบัญชีผู้ใช้ รหัสผ่าน กุญแจเชื่อมต่อ (API Key) และอุปกรณ์ของตน ตลอดจนการกำหนดสิทธิ์ผู้ใช้งานภายในองค์กรของลูกค้า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11.3 เมื่อส่งมอบระบบ ผู้ให้บริการจะส่งมอบข้อมูลรับรองการเข้าถึง (Credentials) ทั้งหมดแก่ลูกค้าผ่านช่องทางที่ปลอดภัย และลูกค้าควรเปลี่ยนข้อมูลดังกล่าวเมื่อสิ้นสุดการให้บริการ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12. การรับประกันผลงาน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12.1 ผู้ให้บริการรับประกันผลงานเป็นเวลา 3 เดือนนับจากวันขึ้นระบบใช้งานจริง ("ระยะเวลารับประกัน") โดยแก้ไขข้อบกพร่องที่ทำให้ระบบทำงานไม่ตรงตาม SOW โดยไม่คิดค่าใช้จ่าย ตามระดับการให้บริการใน SOW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12.2 การรับประกันไม่ครอบคลุม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(ก) ความต้องการใหม่หรือการเปลี่ยนแปลงขอบเขตงาน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(ข) ความเสียหายจากการที่ลูกค้าหรือบุคคลภายนอกแก้ไขระบบหรือฐานข้อมูลเอง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(ค) ความเสียหายจากการเปลี่ยนแปลงสภาพแวดล้อมของระบบ เครื่องแม่ข่าย หรือเครือข่าย ที่มิได้กระทำโดยผู้ให้บริการ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(ง) ความขัดข้อง การเปลี่ยนแปลงเงื่อนไข หรือการยุติบริการของผู้ให้บริการภายนอกที่ระบบเชื่อมต่อ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(จ) ข้อมูลที่ลูกค้าหรือระบบของลูกค้านำเข้าไม่ถูกต้อง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(ฉ) การใช้งานผิดวิธี ผิดวัตถุประสงค์ หรือเกินกว่าสภาพแวดล้อมการทำงานที่ระบุใน SOW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12.3 การสนับสนุนหลังพ้นระยะเวลารับประกัน เป็นไปตามข้อตกลงบริการดูแลระบบ (MA) ที่ทำแยกต่างหาก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12.4 นอกจากที่ระบุไว้โดยชัดแจ้งในสัญญา ผู้ให้บริการไม่ให้คำรับรองอื่นใด ไม่ว่าโดยชัดแจ้งหรือโดยปริยาย รวมถึงไม่รับรองว่าระบบจะทำงานโดยปราศจากข้อผิดพลาดหรือไม่หยุดชะงัก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13. ข้อจำกัดความรับผิด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13.1 ความรับผิดรวมทั้งหมดของผู้ให้บริการตามหรือเกี่ยวเนื่องกับสัญญานี้ ไม่ว่าจากมูลสัญญา ละเมิด หรือมูลเหตุอื่นใด ไม่เกินค่าบริการที่ลูกค้าได้ชำระแล้วตาม SOW ฉบับที่เป็นมูลเหตุแห่งการเรียกร้อง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13.2 คู่สัญญาฝ่ายใดไม่ต้องรับผิดต่ออีกฝ่ายในความเสียหายทางอ้อม ความเสียหายพิเศษ การขาดกำไร การสูญเสียรายได้ การสูญเสียโอกาสทางธุรกิจ หรือการสูญหายของข้อมูล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13.3 ข้อจำกัดในข้อ 13.1 และ 13.2 ไม่ใช้บังคับกับ (ก) ความเสียหายจากการกระทำโดยจงใจหรือประมาทเลินเล่ออย่างร้ายแรง (ข) หน้าที่ชำระค่าบริการของลูกค้า และ (ค) ความรับผิดที่กฎหมายไม่อนุญาตให้จำกัด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13.4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[ทางเลือกสำหรับการเจรจา: ความรับผิดของผู้ให้บริการจากการฝ่าฝืนข้อ 9 หรือข้อ 10 ไม่เกิน 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เท่าของค่าบริการตาม SOW ฉบับที่เกี่ยวข้อง]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14. อายุสัญญาและการบอกเลิก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14.1 สัญญามีผลตั้งแต่วันที่สัญญามีผลบังคับ จนกว่าคู่สัญญาจะปฏิบัติตาม SOW ทุกฉบับครบถ้วน หรือจนกว่าจะมีการบอกเลิกตามข้อนี้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14.2 คู่สัญญาฝ่ายหนึ่งมีสิทธิบอกเลิกสัญญาหรือ SOW ฉบับใด โดยบอกกล่าวเป็นลายลักษณ์อักษร หากอีกฝ่าย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(ก) ผิดสัญญาในสาระสำคัญ และไม่แก้ไขภายใน 30 วันนับจากวันที่ได้รับหนังสือบอกกล่าว หรือ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(ข) ถูกศาลมีคำสั่งพิทักษ์ทรัพย์ ล้มละลาย หรือเข้าสู่กระบวนการฟื้นฟูกิจการ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14.3 ลูกค้ามีสิทธิบอกเลิกสัญญาโดยไม่มีเหตุ โดยบอกกล่าวล่วงหน้าเป็นลายลักษณ์อักษรไม่น้อยกว่า 30 วัน และชำระ (ก) ค่าบริการของงานที่ส่งมอบแล้ว (ข) ค่าบริการของงานที่อยู่ระหว่างดำเนินการตามสัดส่วนความคืบหน้าจริง และ (ค) ค่าใช้จ่ายที่ผู้ให้บริการผูกพันไว้แล้วและไม่อาจยกเลิกได้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14.4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ผลของการสิ้นสุดสัญญา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(ก) ผู้ให้บริการส่งมอบผลงานส่งมอบที่ลูกค้าชำระค่าบริการแล้ว (ข) ผู้ให้บริการส่งคืนและลบข้อมูลของลูกค้าตามเอกสารแนบท้าย 3 (ค) คู่สัญญาแต่ละฝ่ายส่งคืนหรือทำลายข้อมูลที่เป็นความลับของอีกฝ่ายตามเอกสารแนบท้าย 2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14.5 ข้อ 8 ข้อ 9 ข้อ 10 ข้อ 13 ข้อ 14.4 ข้อ 18 ข้อ 19 และข้อที่โดยสภาพมีผลต่อไป ให้คงมีผลภายหลังสัญญาสิ้นสุด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15. การอ้างอิงผลงาน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ผู้ให้บริการอาจระบุชื่อและเครื่องหมายการค้าของลูกค้า และคำอธิบายโครงการโดยสังเขป เป็นผลงานอ้างอิงของผู้ให้บริการได้ เมื่อได้รับความยินยอมเป็นลายลักษณ์อักษรจากลูกค้าก่อน การเผยแพร่ภาพหน้าจอต้องไม่มีข้อมูลของลูกค้าหรือข้อมูลส่วนบุคคล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16. การไม่ชักชวนบุคลากร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ตลอดอายุสัญญาและ 12 เดือนนับจากวันที่สัญญาสิ้นสุด คู่สัญญาฝ่ายหนึ่งจะไม่ชักชวนหรือว่าจ้างบุคลากรของอีกฝ่ายที่เกี่ยวข้องโดยตรงกับโครงการ เว้นแต่ได้รับความยินยอมเป็นลายลักษณ์อักษร ข้อนี้ไม่ใช้กับการรับสมัครงานที่ประกาศเป็นการทั่วไป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17. เหตุสุดวิสัย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ู่สัญญาฝ่ายใดไม่ต้องรับผิดในการไม่ปฏิบัติหรือปฏิบัติล่าช้าอันเกิดจากเหตุที่อยู่นอกเหนือการควบคุมตามสมควรของตน รวมถึงภัยธรรมชาติ โรคระบาด คำสั่งของรัฐ การขัดข้องของโครงข่ายโทรคมนาคมหรือไฟฟ้าเป็นวงกว้าง และการขัดข้องของผู้ให้บริการระบบคลาวด์รายใหญ่ โดยต้องแจ้งอีกฝ่ายโดยไม่ชักช้าและใช้ความพยายามตามสมควรเพื่อบรรเทาผล หากเหตุดังกล่าวดำเนินต่อเนื่องเกิน 60 วัน คู่สัญญาฝ่ายใดมีสิทธิบอกเลิกสัญญาโดยบอกกล่าวเป็นลายลักษณ์อักษร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18. กฎหมายที่ใช้บังคับ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สัญญานี้อยู่ภายใต้บังคับและตีความตามกฎหมายไทย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19. การระงับข้อพิพาท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19.1 คู่สัญญาจะเจรจาโดยสุจริตเพื่อระงับข้อพิพาท โดยผู้ประสานงานโครงการของทั้งสองฝ่ายภายใน 15 วัน หากไม่ยุติ ให้เสนอต่อผู้บริหารระดับสูงของทั้งสองฝ่ายภายใน 15 วันถัดไป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19.2 หากไม่อาจยุติได้ตามข้อ 19.1 ให้เสนอข้อพิพาทต่อศาลไทยที่มีเขตอำนาจในกรุงเทพมหานคร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[ทางเลือก: ให้ระงับโดยอนุญาโตตุลาการตามข้อบังคับสถาบันอนุญาโตตุลาการ (TAI) สำนักงานศาลยุติธรรม อนุญาโตตุลาการ 1 คน สถานที่กรุงเทพมหานคร ภาษาไทย]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19.3 ข้อนี้ไม่ตัดสิทธิคู่สัญญาในการร้องขอวิธีการชั่วคราวหรือคำสั่งห้ามต่อศาล เพื่อคุ้มครองข้อมูลที่เป็นความลับหรือทรัพย์สินทางปัญญา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20. การบอกกล่าว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20.1 การบอกกล่าวตามสัญญาให้ทำเป็นลายลักษณ์อักษร ส่งถึงผู้ประสานงานตามที่อยู่ จดหมายอิเล็กทรอนิกส์ หรือกลุ่มสนทนาโครงการที่ระบุใน SOW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20.2 การบอกเลิกสัญญา การเรียกร้องค่าเสียหาย และการแจ้งเหตุละเมิดข้อมูลส่วนบุคคล ต้องส่งทางจดหมายอิเล็กทรอนิกส์ถึงผู้มีอำนาจของอีกฝ่ายด้วยทุกครั้ง การแจ้งผ่านแอปพลิเคชันสนทนาเพียงอย่างเดียวไม่เพียงพอ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ข้อ 21. ข้อกำหนดทั่วไป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21.1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ความสัมพันธ์ของคู่สัญญา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คู่สัญญาเป็นผู้รับจ้างอิสระต่อกัน สัญญานี้ไม่ก่อให้เกิดความสัมพันธ์แบบหุ้นส่วน ตัวแทน หรือนายจ้างลูกจ้าง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21.2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การโอนสิทธิ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คู่สัญญาฝ่ายใดจะไม่โอนสิทธิหรือหน้าที่ตามสัญญาโดยไม่ได้รับความยินยอมเป็นลายลักษณ์อักษรจากอีกฝ่าย ซึ่งจะไม่ปฏิเสธโดยไม่มีเหตุอันสมควร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21.3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ข้อตกลงทั้งหมด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สัญญานี้เป็นข้อตกลงทั้งหมดระหว่างคู่สัญญาในเรื่องที่ระบุ และใช้แทนข้อเสนอ การเจรจา และข้อตกลงก่อนหน้าทั้งหมด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21.4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การแก้ไข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การแก้ไขสัญญาต้องทำเป็นหนังสือลงนามโดยผู้มีอำนาจของทั้งสองฝ่าย เว้นแต่ CR ตามข้อ 5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21.5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การแยกส่วน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หากข้อใดเป็นโมฆะหรือบังคับไม่ได้ ให้ข้ออื่นยังคงมีผลสมบูรณ์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21.6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การไม่สละสิทธิ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การที่คู่สัญญาฝ่ายใดไม่ใช้สิทธิในคราวใด ไม่ถือเป็นการสละสิทธินั้น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21.7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การปฏิบัติตามกฎหมายและการต่อต้านการทุจริต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คู่สัญญาจะปฏิบัติตามกฎหมายที่ใช้บังคับ และจะไม่ให้ เสนอ หรือรับสินบนหรือประโยชน์อันมิควรได้ในส่วนที่เกี่ยวกับสัญญานี้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21.8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ภาษาและคู่ฉบับ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สัญญานี้ทำเป็นภาษาไทย หากมีคำแปลภาษาอื่น ให้ฉบับภาษาไทยเป็นฉบับที่ใช้บังคับ สัญญาทำขึ้นเป็น 2 ฉบับ มีข้อความถูกต้องตรงกัน คู่สัญญาถือไว้ฝ่ายละ 1 ฉบับ และอาจลงนามด้วยลายมือชื่ออิเล็กทรอนิกส์ตามกฎหมายว่าด้วยธุรกรรมทางอิเล็กทรอนิกส์ได้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คู่สัญญาได้อ่านและเข้าใจข้อความในสัญญาโดยตลอดแล้ว จึงลงลายมือชื่อและประทับตรา (ถ้ามี) ไว้เป็นสำคัญต่อหน้าพยาน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 w:val="true"/>
          <w:tblHeader w:val="true"/>
        </w:trPr>
        <w:tc>
          <w:tcPr>
            <w:tcW w:type="dxa" w:w="4677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ผู้ให้บริการ</w:t>
            </w:r>
          </w:p>
        </w:tc>
        <w:tc>
          <w:tcPr>
            <w:tcW w:type="dxa" w:w="4677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ลูกค้า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บริษัท โกอะลอง จำกัด</w:t>
            </w:r>
          </w:p>
        </w:tc>
        <w:tc>
          <w:tcPr>
            <w:tcW w:type="dxa" w:w="467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บริษัท เฟมไลน์ โปรดักส์ จำกัด</w:t>
            </w:r>
          </w:p>
        </w:tc>
      </w:tr>
      <w:tr>
        <w:trPr>
          <w:cantSplit w:val="true"/>
        </w:trPr>
        <w:tc>
          <w:tcPr>
            <w:tcW w:type="dxa" w:w="4677"/>
            <w:shd w:val="clear" w:color="auto" w:fill="F3F7F5"/>
          </w:tcPr>
          <w:p>
            <w:pPr>
              <w:keepNext/>
              <w:spacing w:after="40" w:before="52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ลงชื่อ ................................................</w:t>
            </w:r>
          </w:p>
        </w:tc>
        <w:tc>
          <w:tcPr>
            <w:tcW w:type="dxa" w:w="4677"/>
            <w:shd w:val="clear" w:color="auto" w:fill="F3F7F5"/>
          </w:tcPr>
          <w:p>
            <w:pPr>
              <w:keepNext/>
              <w:spacing w:after="40" w:before="52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ลงชื่อ ................................................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 xml:space="preserve">( </w:t>
            </w: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 xml:space="preserve"> )</w:t>
            </w:r>
          </w:p>
        </w:tc>
        <w:tc>
          <w:tcPr>
            <w:tcW w:type="dxa" w:w="467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 xml:space="preserve">( </w:t>
            </w: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 xml:space="preserve"> )</w:t>
            </w:r>
          </w:p>
        </w:tc>
      </w:tr>
      <w:tr>
        <w:trPr>
          <w:cantSplit w:val="true"/>
        </w:trPr>
        <w:tc>
          <w:tcPr>
            <w:tcW w:type="dxa" w:w="4677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 xml:space="preserve">ตำแหน่ง </w:t>
            </w: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4677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 xml:space="preserve">ตำแหน่ง </w:t>
            </w: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 xml:space="preserve">วันที่ </w:t>
            </w: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467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 xml:space="preserve">วันที่ </w:t>
            </w: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4677"/>
            <w:shd w:val="clear" w:color="auto" w:fill="F3F7F5"/>
          </w:tcPr>
          <w:p>
            <w:pPr>
              <w:keepNext/>
              <w:spacing w:after="40" w:before="52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ลงชื่อ ................................................ พยาน</w:t>
            </w:r>
          </w:p>
        </w:tc>
        <w:tc>
          <w:tcPr>
            <w:tcW w:type="dxa" w:w="4677"/>
            <w:shd w:val="clear" w:color="auto" w:fill="F3F7F5"/>
          </w:tcPr>
          <w:p>
            <w:pPr>
              <w:keepNext/>
              <w:spacing w:after="40" w:before="52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ลงชื่อ ................................................ พยาน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 xml:space="preserve">( </w:t>
            </w: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 xml:space="preserve"> )</w:t>
            </w:r>
          </w:p>
        </w:tc>
        <w:tc>
          <w:tcPr>
            <w:tcW w:type="dxa" w:w="4677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 xml:space="preserve">( </w:t>
            </w: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 xml:space="preserve"> )</w:t>
            </w:r>
          </w:p>
        </w:tc>
      </w:tr>
    </w:tbl>
    <w:p>
      <w:pPr>
        <w:spacing w:after="80" w:before="0" w:line="300" w:lineRule="auto"/>
      </w:pPr>
    </w:p>
    <w:p>
      <w:r>
        <w:br w:type="page"/>
      </w:r>
    </w:p>
    <w:p>
      <w:pPr>
        <w:spacing w:after="80" w:before="0" w:line="300" w:lineRule="auto"/>
        <w:jc w:val="center"/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เอกสารแนบท้าย 1 — ขอบเขตงาน (Statement of Work)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สัญญาเลขที่: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 |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SOW ฉบับที่: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1  |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วันที่: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1. ขอบเขตงานที่รวมอยู่ในสัญญา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 w:val="true"/>
        </w:trPr>
        <w:tc>
          <w:tcPr>
            <w:tcW w:type="dxa" w:w="9354"/>
            <w:shd w:val="clear" w:color="auto" w:fill="FFF7E0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รายการด้านล่างร่างจากระบบที่พัฒนาอยู่ ณ วันที่จัดทำร่าง ต้องตรวจเทียบกับเอกสาร "Fameline Dock Queue — สเปคโปรแกรม" ฉบับที่ลูกค้าเห็นชอบ ก่อนลงนาม</w:t>
            </w:r>
          </w:p>
        </w:tc>
      </w:tr>
    </w:tbl>
    <w:p>
      <w:pPr>
        <w:spacing w:after="120" w:before="0" w:line="300" w:lineRule="auto"/>
      </w:pP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Module A: เอกสารและคู่ค้า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1691"/>
        <w:gridCol w:w="6762"/>
      </w:tblGrid>
      <w:tr>
        <w:trPr>
          <w:cantSplit w:val="true"/>
          <w:tblHeader w:val="true"/>
        </w:trPr>
        <w:tc>
          <w:tcPr>
            <w:tcW w:type="dxa" w:w="902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#</w:t>
            </w:r>
          </w:p>
        </w:tc>
        <w:tc>
          <w:tcPr>
            <w:tcW w:type="dxa" w:w="1691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รายการ</w:t>
            </w:r>
          </w:p>
        </w:tc>
        <w:tc>
          <w:tcPr>
            <w:tcW w:type="dxa" w:w="6762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902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A1</w:t>
            </w:r>
          </w:p>
        </w:tc>
        <w:tc>
          <w:tcPr>
            <w:tcW w:type="dxa" w:w="1691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ใบสั่งขาย (SO)</w:t>
            </w:r>
          </w:p>
        </w:tc>
        <w:tc>
          <w:tcPr>
            <w:tcW w:type="dxa" w:w="6762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บันทึกทีละใบ ออกลิงก์/QR จองคิว ปิด ยกเลิก บันทึกสถานะชำระเงิน</w:t>
            </w:r>
          </w:p>
        </w:tc>
      </w:tr>
      <w:tr>
        <w:trPr>
          <w:cantSplit w:val="true"/>
        </w:trPr>
        <w:tc>
          <w:tcPr>
            <w:tcW w:type="dxa" w:w="902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A2</w:t>
            </w:r>
          </w:p>
        </w:tc>
        <w:tc>
          <w:tcPr>
            <w:tcW w:type="dxa" w:w="1691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ใบสั่งซื้อ (PO)</w:t>
            </w:r>
          </w:p>
        </w:tc>
        <w:tc>
          <w:tcPr>
            <w:tcW w:type="dxa" w:w="6762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บันทึกทีละใบพร้อมรายการสินค้า ออกลิงก์/QR จองคิว</w:t>
            </w:r>
          </w:p>
        </w:tc>
      </w:tr>
      <w:tr>
        <w:trPr>
          <w:cantSplit w:val="true"/>
        </w:trPr>
        <w:tc>
          <w:tcPr>
            <w:tcW w:type="dxa" w:w="902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A3</w:t>
            </w:r>
          </w:p>
        </w:tc>
        <w:tc>
          <w:tcPr>
            <w:tcW w:type="dxa" w:w="1691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คู่ค้า</w:t>
            </w:r>
          </w:p>
        </w:tc>
        <w:tc>
          <w:tcPr>
            <w:tcW w:type="dxa" w:w="6762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ทะเบียนลูกค้าและผู้ขาย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Module B: การจองคิวและหน้างาน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1"/>
        <w:gridCol w:w="2287"/>
        <w:gridCol w:w="6236"/>
      </w:tblGrid>
      <w:tr>
        <w:trPr>
          <w:cantSplit w:val="true"/>
          <w:tblHeader w:val="true"/>
        </w:trPr>
        <w:tc>
          <w:tcPr>
            <w:tcW w:type="dxa" w:w="831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#</w:t>
            </w:r>
          </w:p>
        </w:tc>
        <w:tc>
          <w:tcPr>
            <w:tcW w:type="dxa" w:w="2287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รายการ</w:t>
            </w:r>
          </w:p>
        </w:tc>
        <w:tc>
          <w:tcPr>
            <w:tcW w:type="dxa" w:w="6236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831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B1</w:t>
            </w:r>
          </w:p>
        </w:tc>
        <w:tc>
          <w:tcPr>
            <w:tcW w:type="dxa" w:w="228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หน้าจองคิวสำหรับคู่ค้า</w:t>
            </w:r>
          </w:p>
        </w:tc>
        <w:tc>
          <w:tcPr>
            <w:tcW w:type="dxa" w:w="6236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เลือกวัน/เวลาที่ว่าง กรอกทะเบียนรถและคนขับ แก้ไขก่อนเช็คอิน ยกเลิกคิว</w:t>
            </w:r>
          </w:p>
        </w:tc>
      </w:tr>
      <w:tr>
        <w:trPr>
          <w:cantSplit w:val="true"/>
        </w:trPr>
        <w:tc>
          <w:tcPr>
            <w:tcW w:type="dxa" w:w="831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B2</w:t>
            </w:r>
          </w:p>
        </w:tc>
        <w:tc>
          <w:tcPr>
            <w:tcW w:type="dxa" w:w="2287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จัดการคิว</w:t>
            </w:r>
          </w:p>
        </w:tc>
        <w:tc>
          <w:tcPr>
            <w:tcW w:type="dxa" w:w="6236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อนุมัติ ออกใบ DO จัดตาราง เลื่อน ยกเลิก เช็คอิน เรียกคิว เริ่มงาน ปิดงาน ลงชื่อปิดงาน</w:t>
            </w:r>
          </w:p>
        </w:tc>
      </w:tr>
      <w:tr>
        <w:trPr>
          <w:cantSplit w:val="true"/>
        </w:trPr>
        <w:tc>
          <w:tcPr>
            <w:tcW w:type="dxa" w:w="831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B3</w:t>
            </w:r>
          </w:p>
        </w:tc>
        <w:tc>
          <w:tcPr>
            <w:tcW w:type="dxa" w:w="228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บอร์ดคิวและปฏิทิน</w:t>
            </w:r>
          </w:p>
        </w:tc>
        <w:tc>
          <w:tcPr>
            <w:tcW w:type="dxa" w:w="6236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สถานะคิวตามท่า</w:t>
            </w:r>
          </w:p>
        </w:tc>
      </w:tr>
      <w:tr>
        <w:trPr>
          <w:cantSplit w:val="true"/>
        </w:trPr>
        <w:tc>
          <w:tcPr>
            <w:tcW w:type="dxa" w:w="831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B4</w:t>
            </w:r>
          </w:p>
        </w:tc>
        <w:tc>
          <w:tcPr>
            <w:tcW w:type="dxa" w:w="2287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เรียกคิวอัตโนมัติ</w:t>
            </w:r>
          </w:p>
        </w:tc>
        <w:tc>
          <w:tcPr>
            <w:tcW w:type="dxa" w:w="6236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เมื่อท่าว่าง และการปรับสถานะคิวที่เลยกำหนด</w:t>
            </w:r>
          </w:p>
        </w:tc>
      </w:tr>
      <w:tr>
        <w:trPr>
          <w:cantSplit w:val="true"/>
        </w:trPr>
        <w:tc>
          <w:tcPr>
            <w:tcW w:type="dxa" w:w="831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B5</w:t>
            </w:r>
          </w:p>
        </w:tc>
        <w:tc>
          <w:tcPr>
            <w:tcW w:type="dxa" w:w="228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หน้าคนขับ</w:t>
            </w:r>
          </w:p>
        </w:tc>
        <w:tc>
          <w:tcPr>
            <w:tcW w:type="dxa" w:w="6236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ดูใบ DO เช็คอินด้วยตนเองพร้อมตรวจพิกัด การแจ้งเตือนบนเบราว์เซอร์</w:t>
            </w:r>
          </w:p>
        </w:tc>
      </w:tr>
      <w:tr>
        <w:trPr>
          <w:cantSplit w:val="true"/>
        </w:trPr>
        <w:tc>
          <w:tcPr>
            <w:tcW w:type="dxa" w:w="831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B6</w:t>
            </w:r>
          </w:p>
        </w:tc>
        <w:tc>
          <w:tcPr>
            <w:tcW w:type="dxa" w:w="2287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จอแสดงคิว</w:t>
            </w:r>
          </w:p>
        </w:tc>
        <w:tc>
          <w:tcPr>
            <w:tcW w:type="dxa" w:w="6236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สำหรับจอโทรทัศน์หน้าลาน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Module C: การตั้งค่าและสิทธิ์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"/>
        <w:gridCol w:w="2215"/>
        <w:gridCol w:w="6154"/>
      </w:tblGrid>
      <w:tr>
        <w:trPr>
          <w:cantSplit w:val="true"/>
          <w:tblHeader w:val="true"/>
        </w:trPr>
        <w:tc>
          <w:tcPr>
            <w:tcW w:type="dxa" w:w="985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#</w:t>
            </w:r>
          </w:p>
        </w:tc>
        <w:tc>
          <w:tcPr>
            <w:tcW w:type="dxa" w:w="2215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รายการ</w:t>
            </w:r>
          </w:p>
        </w:tc>
        <w:tc>
          <w:tcPr>
            <w:tcW w:type="dxa" w:w="6154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98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C1</w:t>
            </w:r>
          </w:p>
        </w:tc>
        <w:tc>
          <w:tcPr>
            <w:tcW w:type="dxa" w:w="221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ข้อมูลหลัก</w:t>
            </w:r>
          </w:p>
        </w:tc>
        <w:tc>
          <w:tcPr>
            <w:tcW w:type="dxa" w:w="6154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สาขา ท่า ประเภทรถ เวลาทำการ วันหยุด ตั้งค่าระบบคิว</w:t>
            </w:r>
          </w:p>
        </w:tc>
      </w:tr>
      <w:tr>
        <w:trPr>
          <w:cantSplit w:val="true"/>
        </w:trPr>
        <w:tc>
          <w:tcPr>
            <w:tcW w:type="dxa" w:w="985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C2</w:t>
            </w:r>
          </w:p>
        </w:tc>
        <w:tc>
          <w:tcPr>
            <w:tcW w:type="dxa" w:w="2215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ผู้ใช้งานและสิทธิ์</w:t>
            </w:r>
          </w:p>
        </w:tc>
        <w:tc>
          <w:tcPr>
            <w:tcW w:type="dxa" w:w="6154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บทบาท ระดับสิทธิ์ เมนู และการจำกัดสาขา</w:t>
            </w:r>
          </w:p>
        </w:tc>
      </w:tr>
      <w:tr>
        <w:trPr>
          <w:cantSplit w:val="true"/>
        </w:trPr>
        <w:tc>
          <w:tcPr>
            <w:tcW w:type="dxa" w:w="98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C3</w:t>
            </w:r>
          </w:p>
        </w:tc>
        <w:tc>
          <w:tcPr>
            <w:tcW w:type="dxa" w:w="221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ประวัติการใช้งาน</w:t>
            </w:r>
          </w:p>
        </w:tc>
        <w:tc>
          <w:tcPr>
            <w:tcW w:type="dxa" w:w="6154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บันทึกการสร้าง แก้ไข ลบข้อมูล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Module D: รายงานและการเชื่อมต่อ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6"/>
        <w:gridCol w:w="3353"/>
        <w:gridCol w:w="5295"/>
      </w:tblGrid>
      <w:tr>
        <w:trPr>
          <w:cantSplit w:val="true"/>
          <w:tblHeader w:val="true"/>
        </w:trPr>
        <w:tc>
          <w:tcPr>
            <w:tcW w:type="dxa" w:w="706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#</w:t>
            </w:r>
          </w:p>
        </w:tc>
        <w:tc>
          <w:tcPr>
            <w:tcW w:type="dxa" w:w="3353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รายการ</w:t>
            </w:r>
          </w:p>
        </w:tc>
        <w:tc>
          <w:tcPr>
            <w:tcW w:type="dxa" w:w="5295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706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D1</w:t>
            </w:r>
          </w:p>
        </w:tc>
        <w:tc>
          <w:tcPr>
            <w:tcW w:type="dxa" w:w="3353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แดชบอร์ดและรายงาน</w:t>
            </w:r>
          </w:p>
        </w:tc>
        <w:tc>
          <w:tcPr>
            <w:tcW w:type="dxa" w:w="529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ตัวชี้วัดคลัง ภาพรวมคิว ส่งออกไฟล์</w:t>
            </w:r>
          </w:p>
        </w:tc>
      </w:tr>
      <w:tr>
        <w:trPr>
          <w:cantSplit w:val="true"/>
        </w:trPr>
        <w:tc>
          <w:tcPr>
            <w:tcW w:type="dxa" w:w="706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D2</w:t>
            </w:r>
          </w:p>
        </w:tc>
        <w:tc>
          <w:tcPr>
            <w:tcW w:type="dxa" w:w="3353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เชื่อมต่อ ERP</w:t>
            </w:r>
          </w:p>
        </w:tc>
        <w:tc>
          <w:tcPr>
            <w:tcW w:type="dxa" w:w="5295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รับข้อมูล SO/PO จาก Microsoft Dynamics AX 2012 ของลูกค้า ตามเอกสาร ERP-API-v1</w:t>
            </w:r>
          </w:p>
        </w:tc>
      </w:tr>
      <w:tr>
        <w:trPr>
          <w:cantSplit w:val="true"/>
        </w:trPr>
        <w:tc>
          <w:tcPr>
            <w:tcW w:type="dxa" w:w="706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D3</w:t>
            </w:r>
          </w:p>
        </w:tc>
        <w:tc>
          <w:tcPr>
            <w:tcW w:type="dxa" w:w="3353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การแจ้งเตือนผ่าน LINE Official Account</w:t>
            </w:r>
          </w:p>
        </w:tc>
        <w:tc>
          <w:tcPr>
            <w:tcW w:type="dxa" w:w="529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[รวม / ไม่รวม — ●]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รายการที่รอการยืนยันว่าอยู่ในขอบเขตหรือเป็น CR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การสร้างคิวสำหรับรถที่มาถึงโดยไม่ได้จอง (Walk-in)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ระดับสิทธิ์ 4 ชั้นและบทบาทผู้จัดการคลัง/ผู้บริหาร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อื่น ๆ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2. งานที่ไม่รวมอยู่ในสัญญานี้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การพัฒนาหรือแก้ไขฝั่งระบบ ERP ของลูกค้า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การเชื่อมต่อกับระบบอื่นนอกเหนือจากที่ระบุในข้อ 1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การนำเข้าข้อมูลเดิมจากระบบเก่า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แอปพลิเคชันบนโทรศัพท์มือถือแบบติดตั้ง (ระบบเป็นเว็บที่ใช้งานบนมือถือได้)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การชำระเงินออนไลน์และการตรวจสอบหลักฐานการชำระเงิน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ค่าเช่าเครื่องแม่ข่าย ฐานข้อมูล โดเมน บริการส่งข้อความ และบริการภายนอกอื่น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อุปกรณ์ เครือข่าย จอแสดงผล และอุปกรณ์หน้างาน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การจัดทำประกาศความเป็นส่วนตัว การขอความยินยอม และเอกสาร PDPA ของลูกค้า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การฝึกอบรมเกินกว่าที่ระบุในข้อ 5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บริการดูแลระบบหลังพ้นระยะเวลารับประกัน (MA)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3. กำหนดส่งมอบและงวดงาน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5"/>
        <w:gridCol w:w="4357"/>
        <w:gridCol w:w="1025"/>
        <w:gridCol w:w="1025"/>
        <w:gridCol w:w="1922"/>
      </w:tblGrid>
      <w:tr>
        <w:trPr>
          <w:cantSplit w:val="true"/>
          <w:tblHeader w:val="true"/>
        </w:trPr>
        <w:tc>
          <w:tcPr>
            <w:tcW w:type="dxa" w:w="1025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งวด</w:t>
            </w:r>
          </w:p>
        </w:tc>
        <w:tc>
          <w:tcPr>
            <w:tcW w:type="dxa" w:w="4357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ผลงานที่ส่งมอบ</w:t>
            </w:r>
          </w:p>
        </w:tc>
        <w:tc>
          <w:tcPr>
            <w:tcW w:type="dxa" w:w="1025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กำหนด</w:t>
            </w:r>
          </w:p>
        </w:tc>
        <w:tc>
          <w:tcPr>
            <w:tcW w:type="dxa" w:w="1025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ร้อยละ</w:t>
            </w:r>
          </w:p>
        </w:tc>
        <w:tc>
          <w:tcPr>
            <w:tcW w:type="dxa" w:w="1922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จำนวนเงิน (บาท)</w:t>
            </w:r>
          </w:p>
        </w:tc>
      </w:tr>
      <w:tr>
        <w:trPr>
          <w:cantSplit w:val="true"/>
        </w:trPr>
        <w:tc>
          <w:tcPr>
            <w:tcW w:type="dxa" w:w="102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1</w:t>
            </w:r>
          </w:p>
        </w:tc>
        <w:tc>
          <w:tcPr>
            <w:tcW w:type="dxa" w:w="435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ลงนามสัญญา</w:t>
            </w:r>
          </w:p>
        </w:tc>
        <w:tc>
          <w:tcPr>
            <w:tcW w:type="dxa" w:w="102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02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30</w:t>
            </w:r>
          </w:p>
        </w:tc>
        <w:tc>
          <w:tcPr>
            <w:tcW w:type="dxa" w:w="1922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1025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2</w:t>
            </w:r>
          </w:p>
        </w:tc>
        <w:tc>
          <w:tcPr>
            <w:tcW w:type="dxa" w:w="4357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Module A–C ใช้งานได้บนระบบทดสอบ</w:t>
            </w:r>
          </w:p>
        </w:tc>
        <w:tc>
          <w:tcPr>
            <w:tcW w:type="dxa" w:w="1025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025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30</w:t>
            </w:r>
          </w:p>
        </w:tc>
        <w:tc>
          <w:tcPr>
            <w:tcW w:type="dxa" w:w="1922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102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3</w:t>
            </w:r>
          </w:p>
        </w:tc>
        <w:tc>
          <w:tcPr>
            <w:tcW w:type="dxa" w:w="435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ผ่านการทดสอบ UAT ครบทุก Module</w:t>
            </w:r>
          </w:p>
        </w:tc>
        <w:tc>
          <w:tcPr>
            <w:tcW w:type="dxa" w:w="102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02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30</w:t>
            </w:r>
          </w:p>
        </w:tc>
        <w:tc>
          <w:tcPr>
            <w:tcW w:type="dxa" w:w="1922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1025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4</w:t>
            </w:r>
          </w:p>
        </w:tc>
        <w:tc>
          <w:tcPr>
            <w:tcW w:type="dxa" w:w="4357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ขึ้นระบบใช้งานจริง และส่งมอบเอกสาร</w:t>
            </w:r>
          </w:p>
        </w:tc>
        <w:tc>
          <w:tcPr>
            <w:tcW w:type="dxa" w:w="1025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025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10</w:t>
            </w:r>
          </w:p>
        </w:tc>
        <w:tc>
          <w:tcPr>
            <w:tcW w:type="dxa" w:w="1922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</w:tbl>
    <w:p>
      <w:pPr>
        <w:spacing w:after="80" w:before="0" w:line="300" w:lineRule="auto"/>
      </w:pP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ระยะเวลาทดสอบ UAT ไม่น้อยกว่า 1 สัปดาห์ก่อนวันขึ้นระบบใช้งานจริง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4. สิ่งที่ลูกค้าต้องส่งมอบ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หากล่าช้า กำหนดส่งมอบงานเลื่อนตามจำนวนวันที่ล่าช้า (สัญญาข้อ 3.2)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5217"/>
        <w:gridCol w:w="1439"/>
        <w:gridCol w:w="1979"/>
      </w:tblGrid>
      <w:tr>
        <w:trPr>
          <w:cantSplit w:val="true"/>
          <w:tblHeader w:val="true"/>
        </w:trPr>
        <w:tc>
          <w:tcPr>
            <w:tcW w:type="dxa" w:w="720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#</w:t>
            </w:r>
          </w:p>
        </w:tc>
        <w:tc>
          <w:tcPr>
            <w:tcW w:type="dxa" w:w="5217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รายการ</w:t>
            </w:r>
          </w:p>
        </w:tc>
        <w:tc>
          <w:tcPr>
            <w:tcW w:type="dxa" w:w="1439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กำหนดส่งภายใน</w:t>
            </w:r>
          </w:p>
        </w:tc>
        <w:tc>
          <w:tcPr>
            <w:tcW w:type="dxa" w:w="1979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ผู้รับผิดชอบฝ่ายลูกค้า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1</w:t>
            </w:r>
          </w:p>
        </w:tc>
        <w:tc>
          <w:tcPr>
            <w:tcW w:type="dxa" w:w="521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โลโก้ และข้อมูลสาขา ท่า ประเภทรถ เวลาทำการ</w:t>
            </w:r>
          </w:p>
        </w:tc>
        <w:tc>
          <w:tcPr>
            <w:tcW w:type="dxa" w:w="1439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979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2</w:t>
            </w:r>
          </w:p>
        </w:tc>
        <w:tc>
          <w:tcPr>
            <w:tcW w:type="dxa" w:w="5217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รายชื่อผู้ใช้งานและบทบาท</w:t>
            </w:r>
          </w:p>
        </w:tc>
        <w:tc>
          <w:tcPr>
            <w:tcW w:type="dxa" w:w="1439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979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3</w:t>
            </w:r>
          </w:p>
        </w:tc>
        <w:tc>
          <w:tcPr>
            <w:tcW w:type="dxa" w:w="521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บัญชีบริการคลาวด์ หรือเครื่องแม่ข่ายและเครือข่ายตามข้อ 7</w:t>
            </w:r>
          </w:p>
        </w:tc>
        <w:tc>
          <w:tcPr>
            <w:tcW w:type="dxa" w:w="1439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979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4</w:t>
            </w:r>
          </w:p>
        </w:tc>
        <w:tc>
          <w:tcPr>
            <w:tcW w:type="dxa" w:w="5217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บัญชี LINE Official Account (หากรวมในขอบเขต)</w:t>
            </w:r>
          </w:p>
        </w:tc>
        <w:tc>
          <w:tcPr>
            <w:tcW w:type="dxa" w:w="1439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979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5</w:t>
            </w:r>
          </w:p>
        </w:tc>
        <w:tc>
          <w:tcPr>
            <w:tcW w:type="dxa" w:w="521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ความพร้อมฝั่ง ERP และบุคลากรสำหรับทดสอบการเชื่อมต่อร่วมกัน</w:t>
            </w:r>
          </w:p>
        </w:tc>
        <w:tc>
          <w:tcPr>
            <w:tcW w:type="dxa" w:w="1439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979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720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6</w:t>
            </w:r>
          </w:p>
        </w:tc>
        <w:tc>
          <w:tcPr>
            <w:tcW w:type="dxa" w:w="5217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รายชื่อผู้ทดสอบ UAT</w:t>
            </w:r>
          </w:p>
        </w:tc>
        <w:tc>
          <w:tcPr>
            <w:tcW w:type="dxa" w:w="1439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979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7</w:t>
            </w:r>
          </w:p>
        </w:tc>
        <w:tc>
          <w:tcPr>
            <w:tcW w:type="dxa" w:w="5217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คำวินิจฉัยในประเด็นที่ผู้ให้บริการสอบถาม</w:t>
            </w:r>
          </w:p>
        </w:tc>
        <w:tc>
          <w:tcPr>
            <w:tcW w:type="dxa" w:w="1439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ภายใน 3 วันทำการ</w:t>
            </w:r>
          </w:p>
        </w:tc>
        <w:tc>
          <w:tcPr>
            <w:tcW w:type="dxa" w:w="1979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5. การฝึกอบรมและเอกสารส่งมอบ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ฝึกอบรมผู้ใช้งาน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[1]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ครั้ง ไม่เกิน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[3]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ชั่วโมง ผู้เข้าอบรมไม่เกิน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คน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คู่มือการใช้งานภาษาไทย แยกตามบทบาท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คู่มือผู้ดูแลระบบ และเอกสารการติดตั้ง สำรอง และกู้คืนระบบ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รหัสต้นฉบับ และข้อมูลรับรองการเข้าถึง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6. เกณฑ์การรับมอบงาน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งานแต่ละงวดถือว่าผ่านการรับมอบเมื่อ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ฟังก์ชันตามข้อ 1 ของงวดนั้นทำงานได้ครบถ้วนบนระบบทดสอบ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ไม่มีข้อบกพร่องระดับวิกฤต (ระบบใช้งานไม่ได้ หรือข้อมูลสูญหาย)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หรือลูกค้าไม่แจ้งข้อบกพร่องภายใน 7 วันทำการ (สัญญาข้อ 4.2)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7. สภาพแวดล้อมการทำงานของระบบ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รูปแบบการติดตั้ง: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[On-Cloud (Vercel + Supabase) / On-Premise — ●]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เบราว์เซอร์: Google Chrome, Microsoft Edge, Safari รุ่นปัจจุบันและย้อนหลัง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[2]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รุ่น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ผู้ใช้งานระบบหลังบ้านพร้อมกันไม่เกิน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คน จำนวนคิวไม่เกิน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คิวต่อวัน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จำนวนสาขา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แห่ง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8. ค่าบริการ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252"/>
      </w:tblGrid>
      <w:tr>
        <w:trPr>
          <w:cantSplit w:val="true"/>
          <w:tblHeader w:val="true"/>
        </w:trPr>
        <w:tc>
          <w:tcPr>
            <w:tcW w:type="dxa" w:w="5102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รายการ</w:t>
            </w:r>
          </w:p>
        </w:tc>
        <w:tc>
          <w:tcPr>
            <w:tcW w:type="dxa" w:w="4252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จำนวนเงิน (บาท)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ค่าพัฒนาระบบ</w:t>
            </w:r>
          </w:p>
        </w:tc>
        <w:tc>
          <w:tcPr>
            <w:tcW w:type="dxa" w:w="4252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5102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ภาษีมูลค่าเพิ่ม 7%</w:t>
            </w:r>
          </w:p>
        </w:tc>
        <w:tc>
          <w:tcPr>
            <w:tcW w:type="dxa" w:w="4252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รวมทั้งสิ้น</w:t>
            </w:r>
          </w:p>
        </w:tc>
        <w:tc>
          <w:tcPr>
            <w:tcW w:type="dxa" w:w="4252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  <w:highlight w:val="yellow"/>
              </w:rPr>
              <w:t>[●]</w:t>
            </w:r>
          </w:p>
        </w:tc>
      </w:tr>
    </w:tbl>
    <w:p>
      <w:pPr>
        <w:spacing w:after="80" w:before="0" w:line="300" w:lineRule="auto"/>
      </w:pP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อัตรากรณีทีมงานต้องหยุดรอเกิน 15 วันทำการ (สัญญาข้อ 3.3):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[●]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บาทต่อวัน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ค่าบริการภายนอกที่ลูกค้าชำระตรง (กรณี On-Cloud): ประมาณ 45 ดอลลาร์สหรัฐต่อเดือน ตามอัตราของผู้ให้บริการ ณ วันที่จัดทำเอกสาร และอาจเปลี่ยนแปลงตามผู้ให้บริการนั้น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9. ระดับการให้บริการในระยะเวลารับประกัน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1"/>
        <w:gridCol w:w="3742"/>
        <w:gridCol w:w="2806"/>
        <w:gridCol w:w="1975"/>
      </w:tblGrid>
      <w:tr>
        <w:trPr>
          <w:cantSplit w:val="true"/>
          <w:tblHeader w:val="true"/>
        </w:trPr>
        <w:tc>
          <w:tcPr>
            <w:tcW w:type="dxa" w:w="831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ระดับ</w:t>
            </w:r>
          </w:p>
        </w:tc>
        <w:tc>
          <w:tcPr>
            <w:tcW w:type="dxa" w:w="3742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ลักษณะ</w:t>
            </w:r>
          </w:p>
        </w:tc>
        <w:tc>
          <w:tcPr>
            <w:tcW w:type="dxa" w:w="2806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ตอบรับภายใน</w:t>
            </w:r>
          </w:p>
        </w:tc>
        <w:tc>
          <w:tcPr>
            <w:tcW w:type="dxa" w:w="1975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เป้าหมายการแก้ไข</w:t>
            </w:r>
          </w:p>
        </w:tc>
      </w:tr>
      <w:tr>
        <w:trPr>
          <w:cantSplit w:val="true"/>
        </w:trPr>
        <w:tc>
          <w:tcPr>
            <w:tcW w:type="dxa" w:w="831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P1</w:t>
            </w:r>
          </w:p>
        </w:tc>
        <w:tc>
          <w:tcPr>
            <w:tcW w:type="dxa" w:w="3742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ระบบใช้งานไม่ได้ หรือข้อมูลเสียหาย</w:t>
            </w:r>
          </w:p>
        </w:tc>
        <w:tc>
          <w:tcPr>
            <w:tcW w:type="dxa" w:w="2806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1 ชั่วโมง (ตลอด 24 ชั่วโมง)</w:t>
            </w:r>
          </w:p>
        </w:tc>
        <w:tc>
          <w:tcPr>
            <w:tcW w:type="dxa" w:w="197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24 ชั่วโมง</w:t>
            </w:r>
          </w:p>
        </w:tc>
      </w:tr>
      <w:tr>
        <w:trPr>
          <w:cantSplit w:val="true"/>
        </w:trPr>
        <w:tc>
          <w:tcPr>
            <w:tcW w:type="dxa" w:w="831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P2</w:t>
            </w:r>
          </w:p>
        </w:tc>
        <w:tc>
          <w:tcPr>
            <w:tcW w:type="dxa" w:w="3742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ฟังก์ชันหลักใช้งานไม่ได้ มีทางเลี่ยง</w:t>
            </w:r>
          </w:p>
        </w:tc>
        <w:tc>
          <w:tcPr>
            <w:tcW w:type="dxa" w:w="2806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4 ชั่วโมงทำการ</w:t>
            </w:r>
          </w:p>
        </w:tc>
        <w:tc>
          <w:tcPr>
            <w:tcW w:type="dxa" w:w="1975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72 ชั่วโมง</w:t>
            </w:r>
          </w:p>
        </w:tc>
      </w:tr>
      <w:tr>
        <w:trPr>
          <w:cantSplit w:val="true"/>
        </w:trPr>
        <w:tc>
          <w:tcPr>
            <w:tcW w:type="dxa" w:w="831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P3</w:t>
            </w:r>
          </w:p>
        </w:tc>
        <w:tc>
          <w:tcPr>
            <w:tcW w:type="dxa" w:w="3742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ข้อบกพร่องเล็กน้อย</w:t>
            </w:r>
          </w:p>
        </w:tc>
        <w:tc>
          <w:tcPr>
            <w:tcW w:type="dxa" w:w="2806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24 ชั่วโมงทำการ</w:t>
            </w:r>
          </w:p>
        </w:tc>
        <w:tc>
          <w:tcPr>
            <w:tcW w:type="dxa" w:w="197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รอบการปรับปรุงถัดไป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10. ผู้ประสานงานและช่องทางการบอกกล่าว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2806"/>
        <w:gridCol w:w="1871"/>
      </w:tblGrid>
      <w:tr>
        <w:trPr>
          <w:cantSplit w:val="true"/>
          <w:tblHeader w:val="true"/>
        </w:trPr>
        <w:tc>
          <w:tcPr>
            <w:tcW w:type="dxa" w:w="4677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</w:r>
          </w:p>
        </w:tc>
        <w:tc>
          <w:tcPr>
            <w:tcW w:type="dxa" w:w="2806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ผู้ให้บริการ</w:t>
            </w:r>
          </w:p>
        </w:tc>
        <w:tc>
          <w:tcPr>
            <w:tcW w:type="dxa" w:w="1871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ลูกค้า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ผู้ประสานงานโครงการ</w:t>
            </w:r>
          </w:p>
        </w:tc>
        <w:tc>
          <w:tcPr>
            <w:tcW w:type="dxa" w:w="2806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871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4677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ผู้มีอำนาจอนุมัติ CR</w:t>
            </w:r>
          </w:p>
        </w:tc>
        <w:tc>
          <w:tcPr>
            <w:tcW w:type="dxa" w:w="2806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871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จดหมายอิเล็กทรอนิกส์</w:t>
            </w:r>
          </w:p>
        </w:tc>
        <w:tc>
          <w:tcPr>
            <w:tcW w:type="dxa" w:w="2806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871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4677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กลุ่มสนทนาโครงการ</w:t>
            </w:r>
          </w:p>
        </w:tc>
        <w:tc>
          <w:tcPr>
            <w:tcW w:type="dxa" w:w="2806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871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</w:tbl>
    <w:p>
      <w:pPr>
        <w:spacing w:after="80" w:before="0" w:line="300" w:lineRule="auto"/>
      </w:pPr>
    </w:p>
    <w:p>
      <w:r>
        <w:br w:type="page"/>
      </w:r>
    </w:p>
    <w:p>
      <w:pPr>
        <w:spacing w:after="80" w:before="0" w:line="300" w:lineRule="auto"/>
        <w:jc w:val="center"/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เอกสารแนบท้าย 2 — ข้อตกลงรักษาความลับ (Mutual Non-Disclosure Agreement)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1. คำนิยาม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1.1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"ข้อมูลที่เป็นความลับ"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หมายถึง ข้อมูลทั้งหมดที่คู่สัญญาฝ่ายหนึ่ง ("ผู้เปิดเผย") เปิดเผยหรือให้เข้าถึงแก่อีกฝ่าย ("ผู้รับข้อมูล") ไม่ว่าด้วยวาจา ลายลักษณ์อักษร อิเล็กทรอนิกส์ หรือรูปแบบอื่น ไม่ว่าจะระบุว่าเป็นความลับหรือไม่ ซึ่งโดยสภาพหรือพฤติการณ์แห่งการเปิดเผยควรเข้าใจได้ว่าเป็นความลับ รวมถึง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(ก)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ของลูกค้า: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ข้อมูลของลูกค้า รายชื่อและข้อมูลลูกค้าและผู้ขายของลูกค้า ข้อมูลใบสั่งขาย ใบสั่งซื้อ ราคา ปริมาณ เงื่อนไขทางการค้า ข้อมูลการชำระเงิน ข้อมูลการดำเนินงานคลังสินค้าและโลจิสติกส์ โครงสร้างและข้อมูลของระบบ ERP ข้อมูลพนักงาน และแผนธุรกิจ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(ข)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ของผู้ให้บริการ: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รหัสต้นฉบับ สถาปัตยกรรมระบบ และเอกสารของทรัพย์สินทางปัญญาเดิม วิธีการทำงาน โครงสร้างราคา และข้อเสนอทางการค้า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(ค)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ของทั้งสองฝ่าย: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เงื่อนไขของสัญญา ข้อมูลรับรองการเข้าถึง กุญแจเชื่อมต่อ และข้อมูลด้านความมั่นคงปลอดภัย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1.2 ข้อมูลที่เป็นความลับ ไม่รวมถึงข้อมูลที่ผู้รับข้อมูลพิสูจน์ได้ว่า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(ก) เป็นที่รับรู้ทั่วไปโดยมิใช่ความผิดของผู้รับข้อมูล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(ข) ผู้รับข้อมูลมีอยู่โดยชอบก่อนได้รับจากผู้เปิดเผย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(ค) ได้รับโดยชอบจากบุคคลภายนอกที่ไม่มีหน้าที่รักษาความลับ หรือ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(ง) พัฒนาขึ้นเองโดยอิสระโดยไม่ใช้ข้อมูลที่เป็นความลับของผู้เปิดเผย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ข้อยกเว้นตามข้อ 1.2 ไม่ใช้กับข้อมูลส่วนบุคคล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2. หน้าที่ของผู้รับข้อมูล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ผู้รับข้อมูลตกลงว่าจะ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(ก) ใช้ข้อมูลที่เป็นความลับเพื่อการปฏิบัติตามสัญญาเท่านั้น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(ข) เก็บรักษาด้วยความระมัดระวังไม่น้อยกว่าที่ใช้กับข้อมูลที่เป็นความลับของตนเอง และไม่ต่ำกว่าระดับที่วิญญูชนพึงปฏิบัติ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(ค) เปิดเผยเฉพาะต่อกรรมการ พนักงาน ที่ปรึกษา และผู้รับจ้างช่วง ที่จำเป็นต้องทราบเพื่อปฏิบัติตามสัญญา และผูกพันด้วยหน้าที่รักษาความลับที่ไม่ด้อยกว่าข้อตกลงนี้ โดยผู้รับข้อมูลรับผิดในการกระทำของบุคคลดังกล่าว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(ง) ไม่ทำซ้ำเกินกว่าที่จำเป็นต่อการปฏิบัติตามสัญญา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(จ) ไม่ทำวิศวกรรมย้อนกลับ แยกส่วน หรือถอดรหัสข้อมูลที่เป็นความลับ เว้นแต่สัญญาอนุญาตไว้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(ฉ) ไม่นำข้อมูลของลูกค้าที่เป็นข้อมูลจริงไปใช้ในสภาพแวดล้อมพัฒนาหรือทดสอบ เว้นแต่ได้รับความเห็นชอบเป็นลายลักษณ์อักษรจากลูกค้า หรือทำให้ไม่สามารถระบุตัวบุคคลได้แล้ว</w:t>
      </w:r>
    </w:p>
    <w:p>
      <w:pPr>
        <w:spacing w:after="100" w:before="0" w:line="300" w:lineRule="auto"/>
        <w:ind w:left="510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(ช) แจ้งผู้เปิดเผยโดยไม่ชักช้าเมื่อทราบว่ามีการใช้หรือเปิดเผยโดยไม่ได้รับอนุญาต และให้ความร่วมมือในการบรรเทาความเสียหาย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3. การเปิดเผยตามกฎหมาย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หากผู้รับข้อมูลถูกบังคับโดยกฎหมาย คำสั่งศาล หรือคำสั่งของหน่วยงานรัฐที่มีอำนาจ ให้เปิดเผยข้อมูลที่เป็นความลับ ผู้รับข้อมูลจะแจ้งผู้เปิดเผยล่วงหน้าเท่าที่กฎหมายอนุญาต เพื่อให้มีโอกาสคัดค้านหรือขอคุ้มครอง และจะเปิดเผยเพียงเท่าที่ถูกบังคับ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4. กรรมสิทธิ์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ข้อมูลที่เป็นความลับเป็นของผู้เปิดเผย ข้อตกลงนี้ไม่ให้สิทธิหรือการอนุญาตใด ๆ ในข้อมูลดังกล่าวแก่ผู้รับข้อมูล นอกจากที่ระบุไว้โดยชัดแจ้งในสัญญา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5. การส่งคืนและทำลาย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เมื่อสัญญาสิ้นสุด หรือเมื่อผู้เปิดเผยร้องขอเป็นลายลักษณ์อักษร ผู้รับข้อมูลจะส่งคืนหรือทำลายข้อมูลที่เป็นความลับและสำเนาทั้งหมดภายใน 30 วัน และยืนยันเป็นลายลักษณ์อักษร เว้นแต่ (ก) สำเนาที่กฎหมายกำหนดให้เก็บรักษา และ (ข) สำเนาในระบบสำรองข้อมูลอัตโนมัติ ซึ่งจะถูกลบตามรอบปกติ โดยสำเนาดังกล่าวยังอยู่ภายใต้หน้าที่รักษาความลับ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6. ระยะเวลา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หน้าที่ตามข้อตกลงนี้มีผลตามสัญญาข้อ 9.2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7. การเยียวยา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คู่สัญญารับทราบว่าการฝ่าฝืนข้อตกลงนี้อาจก่อความเสียหายที่ไม่อาจเยียวยาด้วยเงินได้อย่างเพียงพอ ผู้เปิดเผยจึงมีสิทธิร้องขอคำสั่งห้ามหรือวิธีการคุ้มครองชั่วคราวจากศาล นอกเหนือจากสิทธิเรียกค่าเสียหายตามสัญญา</w:t>
      </w:r>
    </w:p>
    <w:p>
      <w:r>
        <w:br w:type="page"/>
      </w:r>
    </w:p>
    <w:p>
      <w:pPr>
        <w:spacing w:after="80" w:before="0" w:line="300" w:lineRule="auto"/>
        <w:jc w:val="center"/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เอกสารแนบท้าย 3 — ข้อตกลงประมวลผลข้อมูลส่วนบุคคล (Data Processing Agreement)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จัดทำตามมาตรา 40 วรรคสาม แห่งพระราชบัญญัติคุ้มครองข้อมูลส่วนบุคคล พ.ศ. 2562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1. บทบาทของคู่สัญญา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ลูกค้าเป็นผู้ควบคุมข้อมูลส่วนบุคคล ผู้ให้บริการเป็นผู้ประมวลผลข้อมูลส่วนบุคคล ซึ่งประมวลผลในนามและตามคำสั่งของลูกค้า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2. รายละเอียดการประมวลผล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9"/>
        <w:gridCol w:w="6035"/>
      </w:tblGrid>
      <w:tr>
        <w:trPr>
          <w:cantSplit w:val="true"/>
          <w:tblHeader w:val="true"/>
        </w:trPr>
        <w:tc>
          <w:tcPr>
            <w:tcW w:type="dxa" w:w="3319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หัวข้อ</w:t>
            </w:r>
          </w:p>
        </w:tc>
        <w:tc>
          <w:tcPr>
            <w:tcW w:type="dxa" w:w="6035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3319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วัตถุประสงค์</w:t>
            </w:r>
          </w:p>
        </w:tc>
        <w:tc>
          <w:tcPr>
            <w:tcW w:type="dxa" w:w="603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พัฒนา ติดตั้ง ทดสอบ ดูแล และแก้ไขข้อบกพร่องของระบบตามสัญญา</w:t>
            </w:r>
          </w:p>
        </w:tc>
      </w:tr>
      <w:tr>
        <w:trPr>
          <w:cantSplit w:val="true"/>
        </w:trPr>
        <w:tc>
          <w:tcPr>
            <w:tcW w:type="dxa" w:w="3319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ลักษณะการประมวลผล</w:t>
            </w:r>
          </w:p>
        </w:tc>
        <w:tc>
          <w:tcPr>
            <w:tcW w:type="dxa" w:w="6035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จัดเก็บ เข้าถึง แสดงผล สำรอง กู้คืน และลบ</w:t>
            </w:r>
          </w:p>
        </w:tc>
      </w:tr>
      <w:tr>
        <w:trPr>
          <w:cantSplit w:val="true"/>
        </w:trPr>
        <w:tc>
          <w:tcPr>
            <w:tcW w:type="dxa" w:w="3319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ระยะเวลา</w:t>
            </w:r>
          </w:p>
        </w:tc>
        <w:tc>
          <w:tcPr>
            <w:tcW w:type="dxa" w:w="603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ตลอดอายุสัญญา ระยะเวลารับประกัน และ MA (ถ้ามี)</w:t>
            </w:r>
          </w:p>
        </w:tc>
      </w:tr>
      <w:tr>
        <w:trPr>
          <w:cantSplit w:val="true"/>
        </w:trPr>
        <w:tc>
          <w:tcPr>
            <w:tcW w:type="dxa" w:w="3319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เจ้าของข้อมูลส่วนบุคคล</w:t>
            </w:r>
          </w:p>
        </w:tc>
        <w:tc>
          <w:tcPr>
            <w:tcW w:type="dxa" w:w="6035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(1) ผู้ติดต่อของลูกค้าและผู้ขายของลูกค้า (2) พนักงานขับรถ (3) พนักงานและผู้ใช้งานระบบของลูกค้า</w:t>
            </w:r>
          </w:p>
        </w:tc>
      </w:tr>
      <w:tr>
        <w:trPr>
          <w:cantSplit w:val="true"/>
        </w:trPr>
        <w:tc>
          <w:tcPr>
            <w:tcW w:type="dxa" w:w="3319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ประเภทข้อมูลส่วนบุคคล</w:t>
            </w:r>
          </w:p>
        </w:tc>
        <w:tc>
          <w:tcPr>
            <w:tcW w:type="dxa" w:w="603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ชื่อ–นามสกุล หมายเลขโทรศัพท์ จดหมายอิเล็กทรอนิกส์ ที่อยู่ ทะเบียนรถ รหัสผู้ใช้ LINE พิกัดตำแหน่งขณะเช็คอิน ภาพลายมือชื่อ ตัวระบุอุปกรณ์สำหรับการแจ้งเตือน และประวัติการใช้งานระบบ</w:t>
            </w:r>
          </w:p>
        </w:tc>
      </w:tr>
      <w:tr>
        <w:trPr>
          <w:cantSplit w:val="true"/>
        </w:trPr>
        <w:tc>
          <w:tcPr>
            <w:tcW w:type="dxa" w:w="3319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ข้อมูลส่วนบุคคลอ่อนไหว (มาตรา 26)</w:t>
            </w:r>
          </w:p>
        </w:tc>
        <w:tc>
          <w:tcPr>
            <w:tcW w:type="dxa" w:w="6035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ไม่มี — ลูกค้าจะไม่นำเข้าข้อมูลประเภทนี้ในระบบ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3. หน้าที่ของผู้ให้บริการ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ผู้ให้บริการตกลงว่าจะ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3.1 ประมวลผลข้อมูลส่วนบุคคลตามคำสั่งที่เป็นลายลักษณ์อักษรของลูกค้า ซึ่งรวมถึงสัญญานี้ เท่านั้น และจะแจ้งลูกค้าหากเห็นว่าคำสั่งใดขัดต่อกฎหมาย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3.2 จัดให้มีมาตรการรักษาความมั่นคงปลอดภัยที่เหมาะสมตามข้อ 8 เพื่อป้องกันการสูญหาย เข้าถึง ใช้ เปลี่ยนแปลง แก้ไข หรือเปิดเผยโดยปราศจากอำนาจหรือโดยมิชอบ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3.3 จำกัดการเข้าถึงเฉพาะบุคลากรที่จำเป็นต้องปฏิบัติงาน ซึ่งผูกพันด้วยหน้าที่รักษาความลับ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3.4 แจ้งเหตุละเมิดข้อมูลส่วนบุคคลแก่ลูกค้าโดยไม่ชักช้า และไม่เกิน 48 ชั่วโมงนับแต่ทราบเหตุ พร้อมรายละเอียดเท่าที่ทราบเกี่ยวกับลักษณะของเหตุ ข้อมูลและจำนวนเจ้าของข้อมูลที่ได้รับผลกระทบ และมาตรการที่ดำเนินการแล้ว เพื่อให้ลูกค้าปฏิบัติตามหน้าที่แจ้งเหตุตามกฎหมายได้ทันกำหนด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3.5 ให้ความช่วยเหลือตามสมควรแก่ลูกค้าในการตอบสนองคำขอใช้สิทธิของเจ้าของข้อมูลส่วนบุคคล และส่งต่อคำขอที่ได้รับโดยตรงให้ลูกค้าโดยไม่ชักช้า โดยไม่ตอบคำขอเองเว้นแต่ลูกค้ามอบหมาย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3.6 จัดทำและเก็บรักษาบันทึกรายการของกิจกรรมการประมวลผลตามที่กฎหมายกำหนด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3.7 ให้ข้อมูลที่จำเป็นแก่ลูกค้าเพื่อแสดงการปฏิบัติตามข้อตกลงนี้ และยินยอมให้ลูกค้าหรือผู้ตรวจสอบที่ลูกค้าแต่งตั้ง ซึ่งผูกพันด้วยหน้าที่รักษาความลับ ตรวจสอบได้ไม่เกินปีละ 1 ครั้ง โดยแจ้งล่วงหน้าไม่น้อยกว่า 15 วันทำการ ในเวลาทำการ และลูกค้าเป็นผู้รับภาระค่าใช้จ่ายของตน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4. หน้าที่ของลูกค้า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4.1 ลูกค้ารับผิดชอบความชอบด้วยกฎหมายของการเก็บรวบรวมและใช้ข้อมูลส่วนบุคคล รวมถึงการมีฐานทางกฎหมาย การแจ้งประกาศความเป็นส่วนตัว และการขอความยินยอมในกรณีที่กฎหมายกำหนด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4.2 ลูกค้ารับผิดชอบการกำหนดสิทธิ์ผู้ใช้งาน ระยะเวลาเก็บรักษาข้อมูล และความถูกต้องของข้อมูลที่นำเข้า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4.3 ลูกค้าเป็นผู้แจ้งเหตุละเมิดต่อสำนักงานคณะกรรมการคุ้มครองข้อมูลส่วนบุคคลและเจ้าของข้อมูลส่วนบุคคลตามที่กฎหมายกำหนด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5. ผู้ประมวลผลช่วง (Sub-processors)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5.1 ลูกค้าให้ความยินยอมเป็นการทั่วไปให้ผู้ให้บริการใช้ผู้ประมวลผลช่วงตามรายการด้านล่าง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00"/>
        <w:gridCol w:w="3800"/>
        <w:gridCol w:w="1754"/>
      </w:tblGrid>
      <w:tr>
        <w:trPr>
          <w:cantSplit w:val="true"/>
          <w:tblHeader w:val="true"/>
        </w:trPr>
        <w:tc>
          <w:tcPr>
            <w:tcW w:type="dxa" w:w="3800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ผู้ประมวลผลช่วง</w:t>
            </w:r>
          </w:p>
        </w:tc>
        <w:tc>
          <w:tcPr>
            <w:tcW w:type="dxa" w:w="3800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บริการ</w:t>
            </w:r>
          </w:p>
        </w:tc>
        <w:tc>
          <w:tcPr>
            <w:tcW w:type="dxa" w:w="1754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ที่ตั้งการประมวลผล</w:t>
            </w:r>
          </w:p>
        </w:tc>
      </w:tr>
      <w:tr>
        <w:trPr>
          <w:cantSplit w:val="true"/>
        </w:trPr>
        <w:tc>
          <w:tcPr>
            <w:tcW w:type="dxa" w:w="3800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Supabase</w:t>
            </w:r>
          </w:p>
        </w:tc>
        <w:tc>
          <w:tcPr>
            <w:tcW w:type="dxa" w:w="3800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ฐานข้อมูล การยืนยันตัวตน และที่เก็บไฟล์</w:t>
            </w:r>
          </w:p>
        </w:tc>
        <w:tc>
          <w:tcPr>
            <w:tcW w:type="dxa" w:w="1754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3800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Vercel</w:t>
            </w:r>
          </w:p>
        </w:tc>
        <w:tc>
          <w:tcPr>
            <w:tcW w:type="dxa" w:w="3800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เครื่องแม่ข่ายแอปพลิเคชัน</w:t>
            </w:r>
          </w:p>
        </w:tc>
        <w:tc>
          <w:tcPr>
            <w:tcW w:type="dxa" w:w="1754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สิงคโปร์</w:t>
            </w:r>
          </w:p>
        </w:tc>
      </w:tr>
      <w:tr>
        <w:trPr>
          <w:cantSplit w:val="true"/>
        </w:trPr>
        <w:tc>
          <w:tcPr>
            <w:tcW w:type="dxa" w:w="3800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LINE</w:t>
            </w:r>
          </w:p>
        </w:tc>
        <w:tc>
          <w:tcPr>
            <w:tcW w:type="dxa" w:w="3800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การส่งข้อความแจ้งเตือน (หากใช้งาน)</w:t>
            </w:r>
          </w:p>
        </w:tc>
        <w:tc>
          <w:tcPr>
            <w:tcW w:type="dxa" w:w="1754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3800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ผู้ให้บริการจดหมายอิเล็กทรอนิกส์ (SMTP)</w:t>
            </w:r>
          </w:p>
        </w:tc>
        <w:tc>
          <w:tcPr>
            <w:tcW w:type="dxa" w:w="3800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การส่งจดหมายอิเล็กทรอนิกส์ (หากใช้งาน)</w:t>
            </w:r>
          </w:p>
        </w:tc>
        <w:tc>
          <w:tcPr>
            <w:tcW w:type="dxa" w:w="1754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</w:tbl>
    <w:p>
      <w:pPr>
        <w:spacing w:after="80" w:before="0" w:line="300" w:lineRule="auto"/>
      </w:pP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5.2 ในกรณีที่บัญชีบริการตามข้อ 5.1 เปิดในนามของลูกค้าและลูกค้าเป็นคู่สัญญาโดยตรงกับผู้ให้บริการรายนั้น ให้ถือว่าผู้ให้บริการรายนั้นเป็นผู้ประมวลผลของลูกค้าโดยตรง ไม่ใช่ผู้ประมวลผลช่วงของผู้ให้บริการ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5.3 ผู้ให้บริการจะแจ้งลูกค้าล่วงหน้าไม่น้อยกว่า 30 วันก่อนเพิ่มหรือเปลี่ยนผู้ประมวลผลช่วง ลูกค้ามีสิทธิคัดค้านโดยมีเหตุอันสมควร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5.4 ผู้ให้บริการจะทำข้อตกลงกับผู้ประมวลผลช่วงให้มีหน้าที่คุ้มครองข้อมูลไม่ด้อยกว่าข้อตกลงนี้ และยังคงรับผิดต่อลูกค้าในการกระทำของผู้ประมวลผลช่วงของตน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6. การส่งหรือโอนข้อมูลไปต่างประเทศ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ลูกค้ารับทราบและเห็นชอบให้จัดเก็บและประมวลผลข้อมูลส่วนบุคคล ณ ที่ตั้งตามข้อ 5.1 ผู้ให้บริการจะไม่ส่งหรือโอนข้อมูลส่วนบุคคลไปยังประเทศอื่นนอกเหนือจากนั้นโดยไม่ได้รับความเห็นชอบเป็นลายลักษณ์อักษรจากลูกค้า และการส่งหรือโอนต้องเป็นไปตามมาตรา 28 และ 29 แห่ง PDPA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7. การส่งคืนและลบข้อมูล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7.1 เมื่อสิ้นสุดการให้บริการ ผู้ให้บริการจะส่งมอบข้อมูลของลูกค้าในรูปแบบที่ใช้กันทั่วไป หรือโอนการควบคุมบัญชีและฐานข้อมูลให้ลูกค้า ภายใน 30 วัน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7.2 ภายหลังการส่งมอบตามข้อ 7.1 ผู้ให้บริการจะลบข้อมูลส่วนบุคคลที่อยู่ในความครอบครองของตน รวมถึงสำเนาในเครื่องของบุคลากร ภายใน 30 วัน และยืนยันเป็นลายลักษณ์อักษร เว้นแต่กฎหมายกำหนดให้เก็บรักษา</w:t>
      </w:r>
    </w:p>
    <w:p>
      <w:pPr>
        <w:spacing w:after="10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7.3 ผู้ให้บริการจะยกเลิกสิทธิ์เข้าถึงระบบใช้งานจริงของบุคลากรของตนเมื่อสิ้นสุดการให้บริการ หรือเมื่อลูกค้าร้องขอ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8. มาตรการรักษาความมั่นคงปลอดภัยขั้นต่ำ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0"/>
        <w:gridCol w:w="6845"/>
      </w:tblGrid>
      <w:tr>
        <w:trPr>
          <w:cantSplit w:val="true"/>
          <w:tblHeader w:val="true"/>
        </w:trPr>
        <w:tc>
          <w:tcPr>
            <w:tcW w:type="dxa" w:w="2510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ด้าน</w:t>
            </w:r>
          </w:p>
        </w:tc>
        <w:tc>
          <w:tcPr>
            <w:tcW w:type="dxa" w:w="6845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มาตรการ</w:t>
            </w:r>
          </w:p>
        </w:tc>
      </w:tr>
      <w:tr>
        <w:trPr>
          <w:cantSplit w:val="true"/>
        </w:trPr>
        <w:tc>
          <w:tcPr>
            <w:tcW w:type="dxa" w:w="2510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การควบคุมการเข้าถึง</w:t>
            </w:r>
          </w:p>
        </w:tc>
        <w:tc>
          <w:tcPr>
            <w:tcW w:type="dxa" w:w="684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สิทธิ์ตามบทบาทและหลักสิทธิ์เท่าที่จำเป็น การแยกข้อมูลระดับแถวในฐานข้อมูล (Row-Level Security) บัญชีผู้ใช้รายบุคคล</w:t>
            </w:r>
          </w:p>
        </w:tc>
      </w:tr>
      <w:tr>
        <w:trPr>
          <w:cantSplit w:val="true"/>
        </w:trPr>
        <w:tc>
          <w:tcPr>
            <w:tcW w:type="dxa" w:w="2510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การเข้ารหัส</w:t>
            </w:r>
          </w:p>
        </w:tc>
        <w:tc>
          <w:tcPr>
            <w:tcW w:type="dxa" w:w="6845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เข้ารหัสระหว่างรับส่งด้วย TLS 1.2 ขึ้นไป เข้ารหัสข้อมูลขณะจัดเก็บตามมาตรฐานของผู้ให้บริการคลาวด์</w:t>
            </w:r>
          </w:p>
        </w:tc>
      </w:tr>
      <w:tr>
        <w:trPr>
          <w:cantSplit w:val="true"/>
        </w:trPr>
        <w:tc>
          <w:tcPr>
            <w:tcW w:type="dxa" w:w="2510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ข้อมูลรับรองการเข้าถึง</w:t>
            </w:r>
          </w:p>
        </w:tc>
        <w:tc>
          <w:tcPr>
            <w:tcW w:type="dxa" w:w="684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ไม่ฝังในรหัสต้นฉบับ จัดเก็บโทเคนและกุญแจเชื่อมต่อในรูปแบบค่าแฮช ไม่บันทึกลงในบันทึกระบบ</w:t>
            </w:r>
          </w:p>
        </w:tc>
      </w:tr>
      <w:tr>
        <w:trPr>
          <w:cantSplit w:val="true"/>
        </w:trPr>
        <w:tc>
          <w:tcPr>
            <w:tcW w:type="dxa" w:w="2510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การบันทึกและตรวจสอบ</w:t>
            </w:r>
          </w:p>
        </w:tc>
        <w:tc>
          <w:tcPr>
            <w:tcW w:type="dxa" w:w="6845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บันทึกประวัติการสร้าง แก้ไข ลบข้อมูล และการเชื่อมต่อจากระบบภายนอก</w:t>
            </w:r>
          </w:p>
        </w:tc>
      </w:tr>
      <w:tr>
        <w:trPr>
          <w:cantSplit w:val="true"/>
        </w:trPr>
        <w:tc>
          <w:tcPr>
            <w:tcW w:type="dxa" w:w="2510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การสำรองข้อมูล</w:t>
            </w:r>
          </w:p>
        </w:tc>
        <w:tc>
          <w:tcPr>
            <w:tcW w:type="dxa" w:w="684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สำรองอัตโนมัติรายวัน</w:t>
            </w:r>
          </w:p>
        </w:tc>
      </w:tr>
      <w:tr>
        <w:trPr>
          <w:cantSplit w:val="true"/>
        </w:trPr>
        <w:tc>
          <w:tcPr>
            <w:tcW w:type="dxa" w:w="2510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การพัฒนา</w:t>
            </w:r>
          </w:p>
        </w:tc>
        <w:tc>
          <w:tcPr>
            <w:tcW w:type="dxa" w:w="6845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แยกสภาพแวดล้อมทดสอบจากใช้งานจริง ตรวจทานรหัสต้นฉบับ ตรวจสอบข้อมูลนำเข้า ไม่ใช้ข้อมูลส่วนบุคคลจริงในการทดสอบโดยไม่ได้รับความเห็นชอบ</w:t>
            </w:r>
          </w:p>
        </w:tc>
      </w:tr>
      <w:tr>
        <w:trPr>
          <w:cantSplit w:val="true"/>
        </w:trPr>
        <w:tc>
          <w:tcPr>
            <w:tcW w:type="dxa" w:w="2510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บุคลากร</w:t>
            </w:r>
          </w:p>
        </w:tc>
        <w:tc>
          <w:tcPr>
            <w:tcW w:type="dxa" w:w="684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ข้อตกลงรักษาความลับ และการยกเลิกสิทธิ์เมื่อพ้นหน้าที่</w:t>
            </w:r>
          </w:p>
        </w:tc>
      </w:tr>
      <w:tr>
        <w:trPr>
          <w:cantSplit w:val="true"/>
        </w:trPr>
        <w:tc>
          <w:tcPr>
            <w:tcW w:type="dxa" w:w="2510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การจัดการเหตุ</w:t>
            </w:r>
          </w:p>
        </w:tc>
        <w:tc>
          <w:tcPr>
            <w:tcW w:type="dxa" w:w="6845"/>
            <w:shd w:val="clear" w:color="auto" w:fill="F3F7F5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ขั้นตอนรับมือและแจ้งเหตุตามข้อ 3.4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26"/>
          <w:szCs w:val="26"/>
          <w:b w:val="1"/>
          <w:bCs w:val="1"/>
        </w:rPr>
        <w:t>9. ผู้ประสานงานด้านข้อมูลส่วนบุคคล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2806"/>
        <w:gridCol w:w="1871"/>
      </w:tblGrid>
      <w:tr>
        <w:trPr>
          <w:cantSplit w:val="true"/>
          <w:tblHeader w:val="true"/>
        </w:trPr>
        <w:tc>
          <w:tcPr>
            <w:tcW w:type="dxa" w:w="4677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</w:r>
          </w:p>
        </w:tc>
        <w:tc>
          <w:tcPr>
            <w:tcW w:type="dxa" w:w="2806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ผู้ให้บริการ</w:t>
            </w:r>
          </w:p>
        </w:tc>
        <w:tc>
          <w:tcPr>
            <w:tcW w:type="dxa" w:w="1871"/>
            <w:shd w:val="clear" w:color="auto" w:fill="0B7A4B"/>
          </w:tcPr>
          <w:p>
            <w:pPr>
              <w:keepNext/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ลูกค้า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ชื่อ / ตำแหน่ง</w:t>
            </w:r>
          </w:p>
        </w:tc>
        <w:tc>
          <w:tcPr>
            <w:tcW w:type="dxa" w:w="2806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871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4677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จดหมายอิเล็กทรอนิกส์</w:t>
            </w:r>
          </w:p>
        </w:tc>
        <w:tc>
          <w:tcPr>
            <w:tcW w:type="dxa" w:w="2806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871"/>
            <w:shd w:val="clear" w:color="auto" w:fill="F3F7F5"/>
          </w:tcPr>
          <w:p>
            <w:pPr>
              <w:keepNext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  <w:tr>
        <w:trPr>
          <w:cantSplit w:val="true"/>
        </w:trPr>
        <w:tc>
          <w:tcPr>
            <w:tcW w:type="dxa" w:w="4677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โทรศัพท์</w:t>
            </w:r>
          </w:p>
        </w:tc>
        <w:tc>
          <w:tcPr>
            <w:tcW w:type="dxa" w:w="2806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  <w:tc>
          <w:tcPr>
            <w:tcW w:type="dxa" w:w="1871"/>
          </w:tcPr>
          <w:p>
            <w:pPr>
              <w:keepNext w:val="0"/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[●]</w:t>
            </w:r>
          </w:p>
        </w:tc>
      </w:tr>
    </w:tbl>
    <w:p>
      <w:pPr>
        <w:spacing w:after="80" w:before="0" w:line="300" w:lineRule="auto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 w:eastAsia="Tahoma"/>
        <w:i w:val="0"/>
        <w:color w:val="6B7280"/>
        <w:sz w:val="17"/>
        <w:szCs w:val="17"/>
        <w:b w:val="0"/>
        <w:bCs w:val="0"/>
      </w:rPr>
      <w:t xml:space="preserve">GoAlong  |  สัญญาจ้างพัฒนาซอฟต์แวร์และให้บริการ — Fameline Dock Queue  |  หน้า </w:t>
    </w:r>
    <w:r>
      <w:rPr>
        <w:rFonts w:ascii="Tahoma" w:hAnsi="Tahoma" w:cs="Tahoma" w:eastAsia="Tahoma"/>
        <w:sz w:val="17"/>
        <w:szCs w:val="17"/>
      </w:rPr>
      <w:fldChar w:fldCharType="begin"/>
    </w:r>
    <w:r>
      <w:rPr>
        <w:rFonts w:ascii="Tahoma" w:hAnsi="Tahoma" w:cs="Tahoma" w:eastAsia="Tahoma"/>
        <w:sz w:val="17"/>
        <w:szCs w:val="17"/>
      </w:rPr>
      <w:instrText xml:space="preserve">PAGE</w:instrText>
    </w:r>
    <w:r>
      <w:rPr>
        <w:rFonts w:ascii="Tahoma" w:hAnsi="Tahoma" w:cs="Tahoma" w:eastAsia="Tahoma"/>
        <w:sz w:val="17"/>
        <w:szCs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  <w:szCs w:val="21"/>
      <w:lang w:val="en-US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