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Phase 5 Iteration-2 Verification Report</w:t>
      </w:r>
    </w:p>
    <w:p>
      <w:r>
        <w:rPr>
          <w:rFonts w:ascii="Georgia" w:hAnsi="Georgia"/>
          <w:i/>
          <w:color w:val="4B5563"/>
          <w:sz w:val="30"/>
        </w:rPr>
        <w:t>Governance Architecture Assessment: Timeline Convergence and Capacity Adequacy</w:t>
      </w:r>
    </w:p>
    <w:p>
      <w:pPr>
        <w:spacing w:before="400"/>
      </w:pPr>
      <w:r>
        <w:rPr>
          <w:rFonts w:ascii="Calibri" w:hAnsi="Calibri"/>
          <w:color w:val="4B5563"/>
          <w:sz w:val="20"/>
        </w:rPr>
        <w:t>Prepared for P5 iter2 verify report — iter2 verify  ·  Q1 2026 (Verification as of March 2026)  ·  04 Jun 2026 · 19:25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verification examines three concurrent remediation workstreams converging on a 31 March 2026 deadline: audit findings closure (38 open, 13 high-risk, with 90-day escalation mechanism for three findings outstanding over twelve months), AML transaction monitoring validation (rules recalibrated 28 January, production observation period), and a third stream requiring regulatory filing by month-end. The convergence created a 15-day window between Internal Audit fieldwork commencement (16 March) and the CBK self-report deadline. The AML filing occurred 28 April, acknowledged by CBK on 5 May—28 days after the stated deadline. Governance apparatus included Audit Committee oversight (February, March, May meetings), external validation by PwC (interim review delivered April), and Board acknowledgment at the 15 May meeting. Resource signals indicate strain: the Audit Committee recommended two additional FTE positions in March for Board approval in May; flagged transaction volume increased 40% in February following recalibration; operational capacity was expanded through unspecified means. Leadership transition pressure compounds the timeline: Mary Achieng (Head of Internal Audit) confirmed retirement effective 31 December 2026, with succession sub-committee reaching preliminary candidate alignment by verification date. The 66-day gap between the 31 March deadline and this verification report (04 June) reflects the time required to compile post-implementation fieldwork, external validation findings, and regulatory acknowledgment. The verification assesses whether the governance architecture—escalation mechanisms, Committee oversight, resource allocation decisions, external validation—functioned as designed under timeline compression, and whether the 28-day filing delay represents procedural lag or substantive completion issues.</w:t>
      </w:r>
    </w:p>
    <w:p>
      <w:r>
        <w:br w:type="page"/>
      </w:r>
    </w:p>
    <w:p>
      <w:pPr>
        <w:spacing w:before="400" w:after="120"/>
      </w:pPr>
      <w:r>
        <w:rPr>
          <w:rFonts w:ascii="Calibri" w:hAnsi="Calibri"/>
          <w:b/>
          <w:color w:val="0A1F44"/>
          <w:sz w:val="40"/>
        </w:rPr>
        <w:t>Index</w:t>
      </w:r>
    </w:p>
    <w:p>
      <w:r>
        <w:rPr>
          <w:rFonts w:ascii="Calibri" w:hAnsi="Calibri"/>
          <w:color w:val="111827"/>
          <w:sz w:val="22"/>
        </w:rPr>
        <w:t>01.  Timeline Architecture and Convergence Mechanics</w:t>
      </w:r>
    </w:p>
    <w:p>
      <w:r>
        <w:rPr>
          <w:rFonts w:ascii="Calibri" w:hAnsi="Calibri"/>
          <w:color w:val="111827"/>
          <w:sz w:val="22"/>
        </w:rPr>
        <w:t>02.  Resource Allocation and Capacity Signals</w:t>
      </w:r>
    </w:p>
    <w:p>
      <w:r>
        <w:rPr>
          <w:rFonts w:ascii="Calibri" w:hAnsi="Calibri"/>
          <w:color w:val="111827"/>
          <w:sz w:val="22"/>
        </w:rPr>
        <w:t>03.  Governance Coordination and External Validation</w:t>
      </w:r>
    </w:p>
    <w:p>
      <w:r>
        <w:rPr>
          <w:rFonts w:ascii="Calibri" w:hAnsi="Calibri"/>
          <w:color w:val="111827"/>
          <w:sz w:val="22"/>
        </w:rPr>
        <w:t>04.  Operational Metrics and Control Effectiveness</w:t>
      </w:r>
    </w:p>
    <w:p>
      <w:r>
        <w:rPr>
          <w:rFonts w:ascii="Calibri" w:hAnsi="Calibri"/>
          <w:color w:val="111827"/>
          <w:sz w:val="22"/>
        </w:rPr>
        <w:t>05.  Capital Allocation and Strategic Load</w:t>
      </w:r>
    </w:p>
    <w:p>
      <w:r>
        <w:rPr>
          <w:rFonts w:ascii="Calibri" w:hAnsi="Calibri"/>
          <w:color w:val="111827"/>
          <w:sz w:val="22"/>
        </w:rPr>
        <w:t>06.  Verification Methodology and Evidence Base</w:t>
      </w:r>
    </w:p>
    <w:p>
      <w:r>
        <w:br w:type="page"/>
      </w:r>
    </w:p>
    <w:p>
      <w:pPr>
        <w:spacing w:before="400" w:after="120"/>
      </w:pPr>
      <w:r>
        <w:rPr>
          <w:rFonts w:ascii="Calibri" w:hAnsi="Calibri"/>
          <w:b/>
          <w:color w:val="0A1F44"/>
          <w:sz w:val="40"/>
        </w:rPr>
        <w:t>Timeline Architecture and Convergence Mechanics</w:t>
      </w:r>
    </w:p>
    <w:p>
      <w:pPr>
        <w:spacing w:after="120"/>
      </w:pPr>
      <w:r>
        <w:rPr>
          <w:rFonts w:ascii="Georgia" w:hAnsi="Georgia"/>
          <w:i/>
          <w:color w:val="4B5563"/>
          <w:sz w:val="22"/>
        </w:rPr>
        <w:t>Three parallel closures on a single hard deadline</w:t>
      </w:r>
    </w:p>
    <w:p>
      <w:pPr>
        <w:spacing w:after="120"/>
      </w:pPr>
      <w:r>
        <w:rPr>
          <w:rFonts w:ascii="Georgia" w:hAnsi="Georgia"/>
          <w:i w:val="0"/>
          <w:color w:val="111827"/>
          <w:sz w:val="22"/>
        </w:rPr>
        <w:t>The 31 March 2026 deadline required simultaneous closure of three remediation streams. The audit findings stream carried 38 open items, 13 classified high-risk, with three findings outstanding over twelve months triggering a 90-day escalation mechanism to CEO and Board Chair if not closed by deadline. The AML transaction monitoring stream completed rule recalibration on 28 January and entered production observation, with CBK self-report closure committed for 31 March. A third workstream, details of which are not fully specified in available documentation, also required regulatory filing by month-end.</w:t>
      </w:r>
    </w:p>
    <w:p>
      <w:pPr>
        <w:spacing w:after="120"/>
      </w:pPr>
      <w:r>
        <w:rPr>
          <w:rFonts w:ascii="Georgia" w:hAnsi="Georgia"/>
          <w:i w:val="0"/>
          <w:color w:val="111827"/>
          <w:sz w:val="22"/>
        </w:rPr>
        <w:t>Internal Audit fieldwork for post-implementation review commenced 16 March, creating a 15-day window to complete fieldwork, draft findings, validate effectiveness, and prepare closure documentation for regulatory filing. Scope covered detection rule effectiveness, false positive rates, operational handling of flagged transactions, and related control validation. The Chair's February expectation that post-implementation review be presented at the March meeting and that formal CBK self-report closure be ready for filing 'if Internal Audit confirms remediation effectiveness' inserted conditionality into the timeline.</w:t>
      </w:r>
    </w:p>
    <w:p>
      <w:pPr>
        <w:spacing w:after="120"/>
      </w:pPr>
      <w:r>
        <w:rPr>
          <w:rFonts w:ascii="Georgia" w:hAnsi="Georgia"/>
          <w:i w:val="0"/>
          <w:color w:val="111827"/>
          <w:sz w:val="22"/>
        </w:rPr>
        <w:t>The AML self-report was filed 28 April and acknowledged by CBK on 5 May, representing a 28-day delay from the stated 31 March deadline. The Board noted the closure at its 15 May meeting, 45 days post-deadline. The 66-day interval between the 31 March deadline and this verification report (04 June) reflects the assembly period for Internal Audit post-implementation findings, PwC interim review results (delivered to Committee in April), regulatory acknowledgment, and Committee/Board governance processes.</w:t>
      </w:r>
    </w:p>
    <w:p>
      <w:pPr>
        <w:spacing w:after="120"/>
      </w:pPr>
      <w:r>
        <w:rPr>
          <w:rFonts w:ascii="Georgia" w:hAnsi="Georgia"/>
          <w:i w:val="0"/>
          <w:color w:val="111827"/>
          <w:sz w:val="22"/>
        </w:rPr>
        <w:t>The convergence architecture relied on sequential dependencies: operational recalibration completion (28 January) → production observation period (February-March) → Internal Audit fieldwork (16-31 March) → post-implementation validation → regulatory filing. A delay or gap at any stage compressed downstream activities. The 90-day escalation mechanism for the three overdue audit findings functioned as a tripwire: closure by 31 March averted escalation; failure to close triggered CEO and Board Chair involvement. [2], [2], [2], [2]</w:t>
      </w:r>
    </w:p>
    <w:p>
      <w:pPr>
        <w:spacing w:before="160" w:after="160"/>
        <w:ind w:left="720" w:right="720"/>
      </w:pPr>
      <w:r>
        <w:rPr>
          <w:rFonts w:ascii="Georgia" w:hAnsi="Georgia"/>
          <w:i/>
          <w:color w:val="0A1F44"/>
          <w:sz w:val="26"/>
        </w:rPr>
        <w:t>“The Chair's expectation that closure be ready 'if Internal Audit confirms remediation effectiveness' inserted conditionality into a timeline presented as firm.”</w:t>
      </w:r>
    </w:p>
    <w:p/>
    <w:p>
      <w:pPr>
        <w:spacing w:before="400" w:after="120"/>
      </w:pPr>
      <w:r>
        <w:rPr>
          <w:rFonts w:ascii="Calibri" w:hAnsi="Calibri"/>
          <w:b/>
          <w:color w:val="0A1F44"/>
          <w:sz w:val="40"/>
        </w:rPr>
        <w:t>Resource Allocation and Capacity Signals</w:t>
      </w:r>
    </w:p>
    <w:p>
      <w:pPr>
        <w:spacing w:after="120"/>
      </w:pPr>
      <w:r>
        <w:rPr>
          <w:rFonts w:ascii="Georgia" w:hAnsi="Georgia"/>
          <w:i/>
          <w:color w:val="4B5563"/>
          <w:sz w:val="22"/>
        </w:rPr>
        <w:t>Audit function expansion and operational load increases</w:t>
      </w:r>
    </w:p>
    <w:p>
      <w:pPr>
        <w:spacing w:after="120"/>
      </w:pPr>
      <w:r>
        <w:rPr>
          <w:rFonts w:ascii="Georgia" w:hAnsi="Georgia"/>
          <w:i w:val="0"/>
          <w:color w:val="111827"/>
          <w:sz w:val="22"/>
        </w:rPr>
        <w:t>The Audit Committee recommended two additional FTE positions for Internal Audit in March, with approval deferred to the May Board meeting. This recommendation surfaced mid-convergence, indicating that the existing headcount was insufficient for the combined load of 38 open findings (13 high-risk), post-implementation fieldwork on a compressed timeline, and routine audit activities. The timing—recommendation in March for May approval—meant the additional capacity was not available during the critical fieldwork and closure window.</w:t>
      </w:r>
    </w:p>
    <w:p>
      <w:pPr>
        <w:spacing w:after="120"/>
      </w:pPr>
      <w:r>
        <w:rPr>
          <w:rFonts w:ascii="Georgia" w:hAnsi="Georgia"/>
          <w:i w:val="0"/>
          <w:color w:val="111827"/>
          <w:sz w:val="22"/>
        </w:rPr>
        <w:t>Flagged transaction volume increased approximately 40% in the first two weeks of February following the 28 January recalibration. The CRO confirmed operational capacity had been expanded to handle the additional review workload, though the mechanism and scale of expansion are not quantified in available documentation. Absent specifics (additional analysts hired, review time per transaction reduced from X to Y, workflow automation implemented), the confirmation of 'expanded capacity' remains qualitative rather than empirically validated.</w:t>
      </w:r>
    </w:p>
    <w:p>
      <w:pPr>
        <w:spacing w:after="120"/>
      </w:pPr>
      <w:r>
        <w:rPr>
          <w:rFonts w:ascii="Georgia" w:hAnsi="Georgia"/>
          <w:i w:val="0"/>
          <w:color w:val="111827"/>
          <w:sz w:val="22"/>
        </w:rPr>
        <w:t>The convergence occurred against broader capital allocation pressures. The Audit Committee recommended management increase the March provisioning tranche by KES 40 million to ensure Q1 close at or above 50% coverage. The Committee recommended cyber tooling investment of KES 95 million across Q2-Q3 2026 in response to business email compromise and phishing events in prior quarters. A digital lending model refresh was endorsed for Q2 implementation. These concurrent initiatives—provisioning increases, cyber investment, digital lending remediation—competed for capital and management attention during the Q1 convergence period.</w:t>
      </w:r>
    </w:p>
    <w:p>
      <w:pPr>
        <w:spacing w:after="120"/>
      </w:pPr>
      <w:r>
        <w:rPr>
          <w:rFonts w:ascii="Georgia" w:hAnsi="Georgia"/>
          <w:i w:val="0"/>
          <w:color w:val="111827"/>
          <w:sz w:val="22"/>
        </w:rPr>
        <w:t>Mary Achieng, Head of Internal Audit, confirmed retirement effective 31 December 2026. The Audit Committee succession sub-committee (Bram Mwalo, James Kiprop, HR Director) reached preliminary alignment on a preferred candidate by the verification date, with final recommendation scheduled for the June Audit Committee meeting and Board approval in June. This leadership transition overlaps the verification window and the second half of 2026, introducing continuity risk during a period when post-remediation monitoring and follow-up activities will require sustained Internal Audit capacity. [2], [2], [2], [2]</w:t>
      </w:r>
    </w:p>
    <w:p/>
    <w:p>
      <w:pPr>
        <w:spacing w:before="400" w:after="120"/>
      </w:pPr>
      <w:r>
        <w:rPr>
          <w:rFonts w:ascii="Calibri" w:hAnsi="Calibri"/>
          <w:b/>
          <w:color w:val="0A1F44"/>
          <w:sz w:val="40"/>
        </w:rPr>
        <w:t>Governance Coordination and External Validation</w:t>
      </w:r>
    </w:p>
    <w:p>
      <w:pPr>
        <w:spacing w:after="120"/>
      </w:pPr>
      <w:r>
        <w:rPr>
          <w:rFonts w:ascii="Georgia" w:hAnsi="Georgia"/>
          <w:i/>
          <w:color w:val="4B5563"/>
          <w:sz w:val="22"/>
        </w:rPr>
        <w:t>Committee oversight and PwC interim review timeline</w:t>
      </w:r>
    </w:p>
    <w:p>
      <w:pPr>
        <w:spacing w:after="120"/>
      </w:pPr>
      <w:r>
        <w:rPr>
          <w:rFonts w:ascii="Georgia" w:hAnsi="Georgia"/>
          <w:i w:val="0"/>
          <w:color w:val="111827"/>
          <w:sz w:val="22"/>
        </w:rPr>
        <w:t>The Audit Committee maintained governance oversight through meetings in February, March, and May. The February meeting established the 90-day closure target for the three overdue findings and set the 31 March deadline for AML transaction monitoring closure. The March meeting reviewed post-implementation review preparation and confirmed the CBK self-report timeline. The May meeting received updates following the 28 April filing and 5 May CBK acknowledgment. The Board noted the closure at its 15 May meeting.</w:t>
      </w:r>
    </w:p>
    <w:p>
      <w:pPr>
        <w:spacing w:after="120"/>
      </w:pPr>
      <w:r>
        <w:rPr>
          <w:rFonts w:ascii="Georgia" w:hAnsi="Georgia"/>
          <w:i w:val="0"/>
          <w:color w:val="111827"/>
          <w:sz w:val="22"/>
        </w:rPr>
        <w:t>PwC conducted an interim review with findings delivered to the Audit Committee in April. The Committee noted the interim review timeline and confirmed receipt in April during the March Committee meeting. This external validation provided independent assessment of remediation effectiveness, though the specific findings of the PwC interim review are not detailed in available documentation. The sequencing—Internal Audit fieldwork in March, PwC interim review delivered in April, Board acknowledgment in May—suggests the validation process extended beyond the 31 March deadline.</w:t>
      </w:r>
    </w:p>
    <w:p>
      <w:pPr>
        <w:spacing w:after="120"/>
      </w:pPr>
      <w:r>
        <w:rPr>
          <w:rFonts w:ascii="Georgia" w:hAnsi="Georgia"/>
          <w:i w:val="0"/>
          <w:color w:val="111827"/>
          <w:sz w:val="22"/>
        </w:rPr>
        <w:t>The Chair proposed full sequencing of cyber tooling implementation across Q2-Q3 2026, noting that cyber events of the past two quarters made full sequencing the prudent path. He invited the Board to consider alternative sequencing if preferred, indicating executive recognition that parallel execution of multiple initiatives carried coordination risk. The Committee and Board carried the Q2-Q3 implementation recommendation, accepting the proposed timeline rather than requesting faster or alternative sequencing.</w:t>
      </w:r>
    </w:p>
    <w:p>
      <w:pPr>
        <w:spacing w:after="120"/>
      </w:pPr>
      <w:r>
        <w:rPr>
          <w:rFonts w:ascii="Georgia" w:hAnsi="Georgia"/>
          <w:i w:val="0"/>
          <w:color w:val="111827"/>
          <w:sz w:val="22"/>
        </w:rPr>
        <w:t>The governance apparatus—90-day escalation mechanisms, Committee-level oversight, external validation, conditional language around deadlines—was designed to surface issues early and provide structured escalation paths. The 28-day gap between the stated 31 March deadline and the 28 April filing represents either procedural lag in documentation and approval processes, or additional time required to complete remediation activities identified during March fieldwork. The CBK acknowledgment on 5 May indicates regulatory acceptance of the filing, though the acknowledgment itself does not detail whether follow-up actions or conditions were attached. [2], [2], [2], [2]</w:t>
      </w:r>
    </w:p>
    <w:p/>
    <w:p>
      <w:pPr>
        <w:spacing w:before="400" w:after="120"/>
      </w:pPr>
      <w:r>
        <w:rPr>
          <w:rFonts w:ascii="Calibri" w:hAnsi="Calibri"/>
          <w:b/>
          <w:color w:val="0A1F44"/>
          <w:sz w:val="40"/>
        </w:rPr>
        <w:t>Operational Metrics and Control Effectiveness</w:t>
      </w:r>
    </w:p>
    <w:p>
      <w:pPr>
        <w:spacing w:after="120"/>
      </w:pPr>
      <w:r>
        <w:rPr>
          <w:rFonts w:ascii="Georgia" w:hAnsi="Georgia"/>
          <w:i/>
          <w:color w:val="4B5563"/>
          <w:sz w:val="22"/>
        </w:rPr>
        <w:t>Transaction monitoring recalibration and false positive management</w:t>
      </w:r>
    </w:p>
    <w:p>
      <w:pPr>
        <w:spacing w:after="120"/>
      </w:pPr>
      <w:r>
        <w:rPr>
          <w:rFonts w:ascii="Georgia" w:hAnsi="Georgia"/>
          <w:i w:val="0"/>
          <w:color w:val="111827"/>
          <w:sz w:val="22"/>
        </w:rPr>
        <w:t>Transaction monitoring rule recalibration was completed 28 January and entered production observation. The recalibration produced a 40% increase in flagged transactions in the first two weeks of February, consistent with more sensitive detection thresholds. This increase required operational capacity expansion to maintain review timeliness and prevent backlog accumulation. The Internal Audit post-implementation review scope included detection rule effectiveness, false positive rates, and operational handling of flagged transactions.</w:t>
      </w:r>
    </w:p>
    <w:p>
      <w:pPr>
        <w:spacing w:after="120"/>
      </w:pPr>
      <w:r>
        <w:rPr>
          <w:rFonts w:ascii="Georgia" w:hAnsi="Georgia"/>
          <w:i w:val="0"/>
          <w:color w:val="111827"/>
          <w:sz w:val="22"/>
        </w:rPr>
        <w:t>The 40% volume increase tests the boundary between effective detection (catching previously missed activity) and operational strain (overwhelming review capacity with false positives). Without false positive rate data from the March fieldwork, the net effectiveness of the recalibration—whether the 40% increase represents genuine risk detection or calibration overshoot—cannot be fully assessed in this verification. The operational capacity expansion, described qualitatively by the CRO, would need to be quantified in terms of review throughput, queue wait times, and analyst caseload to validate adequacy.</w:t>
      </w:r>
    </w:p>
    <w:p>
      <w:pPr>
        <w:spacing w:after="120"/>
      </w:pPr>
      <w:r>
        <w:rPr>
          <w:rFonts w:ascii="Georgia" w:hAnsi="Georgia"/>
          <w:i w:val="0"/>
          <w:color w:val="111827"/>
          <w:sz w:val="22"/>
        </w:rPr>
        <w:t>The CBK self-report closure commitment for 31 March anchored the production observation period at approximately nine weeks (28 January recalibration to 31 March deadline). Standard practice for production observation ranges from 30 to 90 days depending on transaction volumes and system complexity. A nine-week observation period falls within this range but represents the shorter end, particularly given the 40% volume increase requiring operational adaptation during the observation window. [2], [2], [2]</w:t>
      </w:r>
    </w:p>
    <w:p/>
    <w:p>
      <w:pPr>
        <w:spacing w:before="400" w:after="120"/>
      </w:pPr>
      <w:r>
        <w:rPr>
          <w:rFonts w:ascii="Calibri" w:hAnsi="Calibri"/>
          <w:b/>
          <w:color w:val="0A1F44"/>
          <w:sz w:val="40"/>
        </w:rPr>
        <w:t>Capital Allocation and Strategic Load</w:t>
      </w:r>
    </w:p>
    <w:p>
      <w:pPr>
        <w:spacing w:after="120"/>
      </w:pPr>
      <w:r>
        <w:rPr>
          <w:rFonts w:ascii="Georgia" w:hAnsi="Georgia"/>
          <w:i/>
          <w:color w:val="4B5563"/>
          <w:sz w:val="22"/>
        </w:rPr>
        <w:t>Concurrent initiatives during remediation convergence</w:t>
      </w:r>
    </w:p>
    <w:p>
      <w:pPr>
        <w:spacing w:after="120"/>
      </w:pPr>
      <w:r>
        <w:rPr>
          <w:rFonts w:ascii="Georgia" w:hAnsi="Georgia"/>
          <w:i w:val="0"/>
          <w:color w:val="111827"/>
          <w:sz w:val="22"/>
        </w:rPr>
        <w:t>The Q1 2026 period included multiple concurrent capital and strategic decisions beyond the three-stream remediation convergence. The Audit Committee recommended a KES 40 million increase to the March provisioning tranche to ensure Q1 close at or above 50% coverage, indicating loan book stress or conservative provisioning policy adjustment. The Committee endorsed a digital lending model refresh with Q2 implementation, adding another parallel workstream to the operational calendar.</w:t>
      </w:r>
    </w:p>
    <w:p>
      <w:pPr>
        <w:spacing w:after="120"/>
      </w:pPr>
      <w:r>
        <w:rPr>
          <w:rFonts w:ascii="Georgia" w:hAnsi="Georgia"/>
          <w:i w:val="0"/>
          <w:color w:val="111827"/>
          <w:sz w:val="22"/>
        </w:rPr>
        <w:t>Cyber tooling investment of KES 95 million across Q2-Q3 2026 was recommended in response to business email compromise and phishing events in prior quarters. The Chair's comment that cyber events of the past two quarters made full sequencing in 2026 the prudent path reveals reactive rather than proactive posture—capital allocation responding to incidents rather than ahead of them. The Committee requested that cyber tooling implementation be coordinated with the digital lending risk remediation programme, acknowledging the coordination burden of parallel initiatives.</w:t>
      </w:r>
    </w:p>
    <w:p>
      <w:pPr>
        <w:spacing w:after="120"/>
      </w:pPr>
      <w:r>
        <w:rPr>
          <w:rFonts w:ascii="Georgia" w:hAnsi="Georgia"/>
          <w:i w:val="0"/>
          <w:color w:val="111827"/>
          <w:sz w:val="22"/>
        </w:rPr>
        <w:t>A Tier 1 capital plan was endorsed by the Audit Committee and recommended to the Board, with a detailed framework to be developed by management under Risk Committee oversight and Board approval scheduled for the September meeting. This strategic initiative runs in parallel with Q2-Q3 operational remediation activities and cyber tooling rollout, creating continuous partial attention across financial, operational, and technology domains.</w:t>
      </w:r>
    </w:p>
    <w:p>
      <w:pPr>
        <w:spacing w:after="120"/>
      </w:pPr>
      <w:r>
        <w:rPr>
          <w:rFonts w:ascii="Georgia" w:hAnsi="Georgia"/>
          <w:i w:val="0"/>
          <w:color w:val="111827"/>
          <w:sz w:val="22"/>
        </w:rPr>
        <w:t>The strategic load during Q1—remediation convergence, provisioning increases, cyber investment, digital lending refresh, capital plan development—tests management bandwidth and Board oversight capacity. The governance apparatus functioned to sequence and coordinate these initiatives (Q1 remediation closure before Q2-Q3 implementation), but the volume and capital requirements suggest an organization operating near capacity limits rather than with comfortable margin. [2], [2], [2], [2]</w:t>
      </w:r>
    </w:p>
    <w:p/>
    <w:p>
      <w:pPr>
        <w:spacing w:before="400" w:after="120"/>
      </w:pPr>
      <w:r>
        <w:rPr>
          <w:rFonts w:ascii="Calibri" w:hAnsi="Calibri"/>
          <w:b/>
          <w:color w:val="0A1F44"/>
          <w:sz w:val="40"/>
        </w:rPr>
        <w:t>Verification Methodology and Evidence Base</w:t>
      </w:r>
    </w:p>
    <w:p>
      <w:pPr>
        <w:spacing w:after="120"/>
      </w:pPr>
      <w:r>
        <w:rPr>
          <w:rFonts w:ascii="Georgia" w:hAnsi="Georgia"/>
          <w:i/>
          <w:color w:val="4B5563"/>
          <w:sz w:val="22"/>
        </w:rPr>
        <w:t>Post-implementation fieldwork and regulatory acknowledgment</w:t>
      </w:r>
    </w:p>
    <w:p>
      <w:pPr>
        <w:spacing w:after="120"/>
      </w:pPr>
      <w:r>
        <w:rPr>
          <w:rFonts w:ascii="Georgia" w:hAnsi="Georgia"/>
          <w:i w:val="0"/>
          <w:color w:val="111827"/>
          <w:sz w:val="22"/>
        </w:rPr>
        <w:t>This verification relies on Internal Audit post-implementation fieldwork conducted 16-31 March, PwC interim review findings delivered to the Audit Committee in April, Audit Committee and Board meeting records from February through May, and CBK acknowledgment dated 5 May. The 66-day interval between the 31 March deadline and this verification report reflects the time required to compile these evidence sources, assess findings, and prepare consolidated documentation.</w:t>
      </w:r>
    </w:p>
    <w:p>
      <w:pPr>
        <w:spacing w:after="120"/>
      </w:pPr>
      <w:r>
        <w:rPr>
          <w:rFonts w:ascii="Georgia" w:hAnsi="Georgia"/>
          <w:i w:val="0"/>
          <w:color w:val="111827"/>
          <w:sz w:val="22"/>
        </w:rPr>
        <w:t>The verification does not include granular results from the Internal Audit post-implementation review (specific findings, control effectiveness ratings, residual risk assessments) or detailed PwC interim review conclusions. These documents, if available, would provide empirical validation of whether the 28-day filing delay represented procedural lag or additional remediation time. The CBK acknowledgment confirms regulatory receipt and acceptance but does not detail whether conditions, follow-up actions, or monitoring requirements were attached.</w:t>
      </w:r>
    </w:p>
    <w:p>
      <w:pPr>
        <w:spacing w:after="120"/>
      </w:pPr>
      <w:r>
        <w:rPr>
          <w:rFonts w:ascii="Georgia" w:hAnsi="Georgia"/>
          <w:i w:val="0"/>
          <w:color w:val="111827"/>
          <w:sz w:val="22"/>
        </w:rPr>
        <w:t>The 90-day escalation mechanism for the three audit findings outstanding over twelve months served as a verification checkpoint: if findings did not close by 31 March, escalation to CEO and Board Chair would have occurred in April-May. Available documentation does not reference such escalation, suggesting either that the three findings closed by deadline or that escalation occurred through channels not captured in Committee or Board minutes.</w:t>
      </w:r>
    </w:p>
    <w:p>
      <w:pPr>
        <w:spacing w:after="120"/>
      </w:pPr>
      <w:r>
        <w:rPr>
          <w:rFonts w:ascii="Georgia" w:hAnsi="Georgia"/>
          <w:i w:val="0"/>
          <w:color w:val="111827"/>
          <w:sz w:val="22"/>
        </w:rPr>
        <w:t>Governance documentation shows structured oversight (Committee meetings, external validation, Board acknowledgment) but leaves gaps in operational detail (false positive rates post-recalibration, specific capacity expansion mechanisms, Internal Audit fieldwork findings). The verification assesses the governance architecture—did escalation mechanisms function, was oversight maintained, was external validation obtained—rather than operational granularity, reflecting the evidence base available as of 04 June 2026. [2], [2], [2],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Quantify operational capacity expansions with throughput metrics rather than qualitative confirmations when validating remediation effectiveness.</w:t>
      </w:r>
    </w:p>
    <w:p>
      <w:pPr>
        <w:spacing w:after="80"/>
      </w:pPr>
      <w:r>
        <w:rPr>
          <w:rFonts w:ascii="Calibri" w:hAnsi="Calibri"/>
          <w:b/>
          <w:color w:val="8B2E2B"/>
          <w:sz w:val="22"/>
        </w:rPr>
        <w:t xml:space="preserve">2.  </w:t>
      </w:r>
      <w:r>
        <w:rPr>
          <w:rFonts w:ascii="Georgia" w:hAnsi="Georgia"/>
          <w:color w:val="111827"/>
          <w:sz w:val="22"/>
        </w:rPr>
        <w:t>Align critical FTE approval timelines with remediation windows to avoid mid-stream capacity gaps.</w:t>
      </w:r>
    </w:p>
    <w:p>
      <w:pPr>
        <w:spacing w:after="80"/>
      </w:pPr>
      <w:r>
        <w:rPr>
          <w:rFonts w:ascii="Calibri" w:hAnsi="Calibri"/>
          <w:b/>
          <w:color w:val="8B2E2B"/>
          <w:sz w:val="22"/>
        </w:rPr>
        <w:t xml:space="preserve">3.  </w:t>
      </w:r>
      <w:r>
        <w:rPr>
          <w:rFonts w:ascii="Georgia" w:hAnsi="Georgia"/>
          <w:color w:val="111827"/>
          <w:sz w:val="22"/>
        </w:rPr>
        <w:t>Establish explicit observation period standards for system recalibrations based on transaction volume and complexity.</w:t>
      </w:r>
    </w:p>
    <w:p>
      <w:pPr>
        <w:spacing w:after="80"/>
      </w:pPr>
      <w:r>
        <w:rPr>
          <w:rFonts w:ascii="Calibri" w:hAnsi="Calibri"/>
          <w:b/>
          <w:color w:val="8B2E2B"/>
          <w:sz w:val="22"/>
        </w:rPr>
        <w:t xml:space="preserve">4.  </w:t>
      </w:r>
      <w:r>
        <w:rPr>
          <w:rFonts w:ascii="Georgia" w:hAnsi="Georgia"/>
          <w:color w:val="111827"/>
          <w:sz w:val="22"/>
        </w:rPr>
        <w:t>Document escalation mechanism outcomes in Committee minutes when tripwires are triggered, even if escalations resolve without Board action.</w:t>
      </w:r>
    </w:p>
    <w:p>
      <w:pPr>
        <w:spacing w:after="80"/>
      </w:pPr>
      <w:r>
        <w:rPr>
          <w:rFonts w:ascii="Calibri" w:hAnsi="Calibri"/>
          <w:b/>
          <w:color w:val="8B2E2B"/>
          <w:sz w:val="22"/>
        </w:rPr>
        <w:t xml:space="preserve">5.  </w:t>
      </w:r>
      <w:r>
        <w:rPr>
          <w:rFonts w:ascii="Georgia" w:hAnsi="Georgia"/>
          <w:color w:val="111827"/>
          <w:sz w:val="22"/>
        </w:rPr>
        <w:t>Coordinate strategic initiative timelines to prevent capital allocation and management bandwidth conflicts during high-risk remediation periods.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phase-5-iteration-2-verification-report.docx</w:t>
      </w:r>
    </w:p>
    <w:p>
      <w:pPr>
        <w:spacing w:after="60"/>
      </w:pPr>
      <w:r>
        <w:rPr>
          <w:rFonts w:ascii="Calibri" w:hAnsi="Calibri"/>
          <w:b/>
          <w:color w:val="8B2E2B"/>
          <w:sz w:val="20"/>
        </w:rPr>
        <w:t xml:space="preserve">[2]  </w:t>
      </w:r>
      <w:r>
        <w:rPr>
          <w:rFonts w:ascii="Georgia" w:hAnsi="Georgia"/>
          <w:color w:val="111827"/>
          <w:sz w:val="20"/>
        </w:rPr>
        <w:t>Ubora Q1 2026 Board Pack — Full Set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P5 iter2 verify report — iter2 verify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