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Phase 5 Iteration-2 Verification — Final Review Minutes</w:t>
      </w:r>
    </w:p>
    <w:p>
      <w:r>
        <w:rPr>
          <w:rFonts w:ascii="Georgia" w:hAnsi="Georgia"/>
          <w:i/>
          <w:color w:val="4B5563"/>
          <w:sz w:val="30"/>
        </w:rPr>
        <w:t>Audit Committee and Executive Management — March–April 2026</w:t>
      </w:r>
    </w:p>
    <w:p>
      <w:pPr>
        <w:spacing w:before="400"/>
      </w:pPr>
      <w:r>
        <w:rPr>
          <w:rFonts w:ascii="Calibri" w:hAnsi="Calibri"/>
          <w:color w:val="4B5563"/>
          <w:sz w:val="20"/>
        </w:rPr>
        <w:t>Prepared for P5 Iteration-2 Verification Closure  ·  Q1 2026 (Convergence Review)  ·  04 Jun 2026 · 19:28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The Committee reviewed the completion of Phase 5 Iteration-2, which coordinated three concurrent remediation workstreams converging on 31 March 2026: closure of 38 open audit findings (13 high-risk), AML transaction monitoring validation following January recalibration, and digital lending risk controls implementation. The verification confirmed deadline adherence across all three streams despite capacity constraints heightened by cyber response activity in Q1. The Committee acknowledged residual work on three findings outstanding over twelve months, noted the 90-day escalation mechanism now in effect, and directed management to maintain monthly reporting through Q2 as the new Internal Audit Head assumes oversight responsibilities.</w:t>
      </w:r>
    </w:p>
    <w:p>
      <w:r>
        <w:br w:type="page"/>
      </w:r>
    </w:p>
    <w:p>
      <w:pPr>
        <w:spacing w:before="400" w:after="120"/>
      </w:pPr>
      <w:r>
        <w:rPr>
          <w:rFonts w:ascii="Calibri" w:hAnsi="Calibri"/>
          <w:b/>
          <w:color w:val="0A1F44"/>
          <w:sz w:val="40"/>
        </w:rPr>
        <w:t>Index</w:t>
      </w:r>
    </w:p>
    <w:p>
      <w:r>
        <w:rPr>
          <w:rFonts w:ascii="Calibri" w:hAnsi="Calibri"/>
          <w:color w:val="111827"/>
          <w:sz w:val="22"/>
        </w:rPr>
        <w:t>01.  Verification Scope and Timeline Convergence</w:t>
      </w:r>
    </w:p>
    <w:p>
      <w:r>
        <w:rPr>
          <w:rFonts w:ascii="Calibri" w:hAnsi="Calibri"/>
          <w:color w:val="111827"/>
          <w:sz w:val="22"/>
        </w:rPr>
        <w:t>02.  Capacity Adequacy Assessment</w:t>
      </w:r>
    </w:p>
    <w:p>
      <w:r>
        <w:rPr>
          <w:rFonts w:ascii="Calibri" w:hAnsi="Calibri"/>
          <w:color w:val="111827"/>
          <w:sz w:val="22"/>
        </w:rPr>
        <w:t>03.  Audit Findings Closure Status</w:t>
      </w:r>
    </w:p>
    <w:p>
      <w:r>
        <w:rPr>
          <w:rFonts w:ascii="Calibri" w:hAnsi="Calibri"/>
          <w:color w:val="111827"/>
          <w:sz w:val="22"/>
        </w:rPr>
        <w:t>04.  AML Transaction Monitoring Validation</w:t>
      </w:r>
    </w:p>
    <w:p>
      <w:r>
        <w:rPr>
          <w:rFonts w:ascii="Calibri" w:hAnsi="Calibri"/>
          <w:color w:val="111827"/>
          <w:sz w:val="22"/>
        </w:rPr>
        <w:t>05.  Digital Lending Risk Controls</w:t>
      </w:r>
    </w:p>
    <w:p>
      <w:r>
        <w:rPr>
          <w:rFonts w:ascii="Calibri" w:hAnsi="Calibri"/>
          <w:color w:val="111827"/>
          <w:sz w:val="22"/>
        </w:rPr>
        <w:t>06.  Cyber Response Coordination</w:t>
      </w:r>
    </w:p>
    <w:p>
      <w:r>
        <w:rPr>
          <w:rFonts w:ascii="Calibri" w:hAnsi="Calibri"/>
          <w:color w:val="111827"/>
          <w:sz w:val="22"/>
        </w:rPr>
        <w:t>07.  Governance Oversight and Closure</w:t>
      </w:r>
    </w:p>
    <w:p>
      <w:r>
        <w:br w:type="page"/>
      </w:r>
    </w:p>
    <w:p>
      <w:pPr>
        <w:spacing w:before="400" w:after="120"/>
      </w:pPr>
      <w:r>
        <w:rPr>
          <w:rFonts w:ascii="Calibri" w:hAnsi="Calibri"/>
          <w:b/>
          <w:color w:val="0A1F44"/>
          <w:sz w:val="40"/>
        </w:rPr>
        <w:t>Verification Scope and Timeline Convergence</w:t>
      </w:r>
    </w:p>
    <w:p>
      <w:pPr>
        <w:spacing w:after="120"/>
      </w:pPr>
      <w:r>
        <w:rPr>
          <w:rFonts w:ascii="Georgia" w:hAnsi="Georgia"/>
          <w:i/>
          <w:color w:val="4B5563"/>
          <w:sz w:val="22"/>
        </w:rPr>
        <w:t>Chief Risk Officer and Internal Audit</w:t>
      </w:r>
    </w:p>
    <w:p>
      <w:pPr>
        <w:spacing w:after="120"/>
      </w:pPr>
      <w:r>
        <w:rPr>
          <w:rFonts w:ascii="Georgia" w:hAnsi="Georgia"/>
          <w:i w:val="0"/>
          <w:color w:val="111827"/>
          <w:sz w:val="22"/>
        </w:rPr>
        <w:t>The verification examined three workstreams that management had scheduled to converge on 31 March: audit findings remediation (38 open items, 13 classified high-risk), AML transaction monitoring validation (following rules recalibration completed 28 January), and digital lending risk control implementation. The CRO confirmed all three streams met the convergence deadline, though capacity constraints were evident throughout Q1 due to concurrent cyber incident response activities.</w:t>
      </w:r>
    </w:p>
    <w:p>
      <w:pPr>
        <w:spacing w:after="120"/>
      </w:pPr>
      <w:r>
        <w:rPr>
          <w:rFonts w:ascii="Georgia" w:hAnsi="Georgia"/>
          <w:i w:val="0"/>
          <w:color w:val="111827"/>
          <w:sz w:val="22"/>
        </w:rPr>
        <w:t>The Committee noted that three audit findings have remained open for over twelve months, triggering the 90-day escalation mechanism adopted in prior governance reviews. Management acknowledged these items require cross-functional coordination that extends beyond the immediate remediation cycle. The verification report classified this as a governance architecture matter rather than a control failure, but the Committee emphasised that the escalation protocol must now be followed rigorously.</w:t>
      </w:r>
    </w:p>
    <w:p>
      <w:pPr>
        <w:spacing w:after="120"/>
      </w:pPr>
      <w:r>
        <w:rPr>
          <w:rFonts w:ascii="Georgia" w:hAnsi="Georgia"/>
          <w:i w:val="0"/>
          <w:color w:val="111827"/>
          <w:sz w:val="22"/>
        </w:rPr>
        <w:t>Internal Audit confirmed that fieldwork for the AML post-implementation review commenced 16 March as scheduled, with scope covering detection rule effectiveness, false positive rates, and operational handling of flagged transactions. This review will provide independent validation of the January recalibration work and is expected to complete in April. [1], [3], [5]</w:t>
      </w:r>
    </w:p>
    <w:p>
      <w:pPr>
        <w:spacing w:before="160" w:after="160"/>
        <w:ind w:left="720" w:right="720"/>
      </w:pPr>
      <w:r>
        <w:rPr>
          <w:rFonts w:ascii="Georgia" w:hAnsi="Georgia"/>
          <w:i/>
          <w:color w:val="0A1F44"/>
          <w:sz w:val="26"/>
        </w:rPr>
        <w:t>“All three workstreams met the 31 March convergence deadline; three findings over twelve months now enter 90-day escalation.”</w:t>
      </w:r>
    </w:p>
    <w:p/>
    <w:p>
      <w:pPr>
        <w:spacing w:before="400" w:after="120"/>
      </w:pPr>
      <w:r>
        <w:rPr>
          <w:rFonts w:ascii="Calibri" w:hAnsi="Calibri"/>
          <w:b/>
          <w:color w:val="0A1F44"/>
          <w:sz w:val="40"/>
        </w:rPr>
        <w:t>Capacity Adequacy Assessment</w:t>
      </w:r>
    </w:p>
    <w:p>
      <w:pPr>
        <w:spacing w:after="120"/>
      </w:pPr>
      <w:r>
        <w:rPr>
          <w:rFonts w:ascii="Georgia" w:hAnsi="Georgia"/>
          <w:i/>
          <w:color w:val="4B5563"/>
          <w:sz w:val="22"/>
        </w:rPr>
        <w:t>Executive Management</w:t>
      </w:r>
    </w:p>
    <w:p>
      <w:pPr>
        <w:spacing w:after="120"/>
      </w:pPr>
      <w:r>
        <w:rPr>
          <w:rFonts w:ascii="Georgia" w:hAnsi="Georgia"/>
          <w:i w:val="0"/>
          <w:color w:val="111827"/>
          <w:sz w:val="22"/>
        </w:rPr>
        <w:t>The verification included a capacity adequacy assessment, examining whether the organisation had sufficient resources to manage three concurrent high-priority programmes during a quarter that also demanded intensive cyber response activity. Management reported that the convergence was achieved but acknowledged strain on second-line functions, particularly within Risk and Compliance teams supporting both AML validation and digital lending remediation.</w:t>
      </w:r>
    </w:p>
    <w:p>
      <w:pPr>
        <w:spacing w:after="120"/>
      </w:pPr>
      <w:r>
        <w:rPr>
          <w:rFonts w:ascii="Georgia" w:hAnsi="Georgia"/>
          <w:i w:val="0"/>
          <w:color w:val="111827"/>
          <w:sz w:val="22"/>
        </w:rPr>
        <w:t>The Committee discussed the timing of the Internal Audit Head succession, with interviews conducted in April and final recommendation scheduled for the June Committee meeting. The outgoing Head completed the Phase 5 verification as a final major deliverable, ensuring continuity of oversight through the convergence period. The Committee noted this succession represents an orderly transition rather than a gap in assurance capability. [1], [3], [5]</w:t>
      </w:r>
    </w:p>
    <w:p/>
    <w:p>
      <w:pPr>
        <w:spacing w:before="400" w:after="120"/>
      </w:pPr>
      <w:r>
        <w:rPr>
          <w:rFonts w:ascii="Calibri" w:hAnsi="Calibri"/>
          <w:b/>
          <w:color w:val="0A1F44"/>
          <w:sz w:val="40"/>
        </w:rPr>
        <w:t>Audit Findings Closure Status</w:t>
      </w:r>
    </w:p>
    <w:p>
      <w:pPr>
        <w:spacing w:after="120"/>
      </w:pPr>
      <w:r>
        <w:rPr>
          <w:rFonts w:ascii="Georgia" w:hAnsi="Georgia"/>
          <w:i/>
          <w:color w:val="4B5563"/>
          <w:sz w:val="22"/>
        </w:rPr>
        <w:t>Internal Audit</w:t>
      </w:r>
    </w:p>
    <w:p>
      <w:pPr>
        <w:spacing w:after="120"/>
      </w:pPr>
      <w:r>
        <w:rPr>
          <w:rFonts w:ascii="Georgia" w:hAnsi="Georgia"/>
          <w:i w:val="0"/>
          <w:color w:val="111827"/>
          <w:sz w:val="22"/>
        </w:rPr>
        <w:t>Of the 38 open findings at the start of Q1, management closed 22 by the 31 March deadline, leaving 16 open (of which 8 are high-risk). The three findings outstanding over twelve months relate to: cross-border transaction monitoring enhancements, digital lending credit model documentation, and operational risk event reporting workflow. These require system changes or process redesign that extend beyond immediate remediation timelines.</w:t>
      </w:r>
    </w:p>
    <w:p>
      <w:pPr>
        <w:spacing w:after="120"/>
      </w:pPr>
      <w:r>
        <w:rPr>
          <w:rFonts w:ascii="Georgia" w:hAnsi="Georgia"/>
          <w:i w:val="0"/>
          <w:color w:val="111827"/>
          <w:sz w:val="22"/>
        </w:rPr>
        <w:t>The Committee approved management's request to implement monthly reporting on the 16 remaining findings through Q2, with particular focus on the three items now in escalation status. This reporting cadence will continue until the new Internal Audit Head completes an initial assessment and proposes any adjustments to tracking mechanisms. [1], [3], [5]</w:t>
      </w:r>
    </w:p>
    <w:p>
      <w:pPr>
        <w:spacing w:before="160" w:after="160"/>
        <w:ind w:left="720" w:right="720"/>
      </w:pPr>
      <w:r>
        <w:rPr>
          <w:rFonts w:ascii="Georgia" w:hAnsi="Georgia"/>
          <w:i/>
          <w:color w:val="0A1F44"/>
          <w:sz w:val="26"/>
        </w:rPr>
        <w:t>“Management closed 22 of 38 findings by deadline; 16 remain open, including three now in 90-day escalation.”</w:t>
      </w:r>
    </w:p>
    <w:p/>
    <w:p>
      <w:pPr>
        <w:spacing w:before="400" w:after="120"/>
      </w:pPr>
      <w:r>
        <w:rPr>
          <w:rFonts w:ascii="Calibri" w:hAnsi="Calibri"/>
          <w:b/>
          <w:color w:val="0A1F44"/>
          <w:sz w:val="40"/>
        </w:rPr>
        <w:t>AML Transaction Monitoring Validation</w:t>
      </w:r>
    </w:p>
    <w:p>
      <w:pPr>
        <w:spacing w:after="120"/>
      </w:pPr>
      <w:r>
        <w:rPr>
          <w:rFonts w:ascii="Georgia" w:hAnsi="Georgia"/>
          <w:i/>
          <w:color w:val="4B5563"/>
          <w:sz w:val="22"/>
        </w:rPr>
        <w:t>Chief Risk Officer</w:t>
      </w:r>
    </w:p>
    <w:p>
      <w:pPr>
        <w:spacing w:after="120"/>
      </w:pPr>
      <w:r>
        <w:rPr>
          <w:rFonts w:ascii="Georgia" w:hAnsi="Georgia"/>
          <w:i w:val="0"/>
          <w:color w:val="111827"/>
          <w:sz w:val="22"/>
        </w:rPr>
        <w:t>The CRO confirmed that AML detection rules recalibrated on 28 January have been in production for the full Q1 period, providing sufficient operating history for validation. Preliminary metrics indicate false positive rates declined as intended, though the post-implementation review will provide independent verification of effectiveness. No material gaps in transaction coverage were identified during the quarter.</w:t>
      </w:r>
    </w:p>
    <w:p>
      <w:pPr>
        <w:spacing w:after="120"/>
      </w:pPr>
      <w:r>
        <w:rPr>
          <w:rFonts w:ascii="Georgia" w:hAnsi="Georgia"/>
          <w:i w:val="0"/>
          <w:color w:val="111827"/>
          <w:sz w:val="22"/>
        </w:rPr>
        <w:t>The Committee noted that the AML validation timeline was coordinated with the Internal Audit post-implementation review to avoid duplication of effort. Management confirmed that any findings from the April review will be incorporated into Q2 refinements rather than delaying the Phase 5 closure, as the baseline capability is now operational. [1], [3], [5]</w:t>
      </w:r>
    </w:p>
    <w:p/>
    <w:p>
      <w:pPr>
        <w:spacing w:before="400" w:after="120"/>
      </w:pPr>
      <w:r>
        <w:rPr>
          <w:rFonts w:ascii="Calibri" w:hAnsi="Calibri"/>
          <w:b/>
          <w:color w:val="0A1F44"/>
          <w:sz w:val="40"/>
        </w:rPr>
        <w:t>Digital Lending Risk Controls</w:t>
      </w:r>
    </w:p>
    <w:p>
      <w:pPr>
        <w:spacing w:after="120"/>
      </w:pPr>
      <w:r>
        <w:rPr>
          <w:rFonts w:ascii="Georgia" w:hAnsi="Georgia"/>
          <w:i/>
          <w:color w:val="4B5563"/>
          <w:sz w:val="22"/>
        </w:rPr>
        <w:t>Chief Risk Officer</w:t>
      </w:r>
    </w:p>
    <w:p>
      <w:pPr>
        <w:spacing w:after="120"/>
      </w:pPr>
      <w:r>
        <w:rPr>
          <w:rFonts w:ascii="Georgia" w:hAnsi="Georgia"/>
          <w:i w:val="0"/>
          <w:color w:val="111827"/>
          <w:sz w:val="22"/>
        </w:rPr>
        <w:t>Management confirmed implementation of enhanced credit model controls and portfolio monitoring capabilities for the digital lending book. The Committee had previously endorsed a model refresh in Q1, with implementation proceeding in Q2 as part of the broader remediation programme. The Phase 5 verification focused on the foundational control architecture rather than model performance, which remains subject to ongoing monitoring.</w:t>
      </w:r>
    </w:p>
    <w:p>
      <w:pPr>
        <w:spacing w:after="120"/>
      </w:pPr>
      <w:r>
        <w:rPr>
          <w:rFonts w:ascii="Georgia" w:hAnsi="Georgia"/>
          <w:i w:val="0"/>
          <w:color w:val="111827"/>
          <w:sz w:val="22"/>
        </w:rPr>
        <w:t>The Committee acknowledged the connection between digital lending remediation and the Tanzania transport infrastructure exposure (KES 18 million, now Stage 2) discussed in prior meetings. While not material individually, the matter illustrated the importance of single-name concentration monitoring, which the enhanced controls now address more systematically. [1], [3], [5]</w:t>
      </w:r>
    </w:p>
    <w:p/>
    <w:p>
      <w:pPr>
        <w:spacing w:before="400" w:after="120"/>
      </w:pPr>
      <w:r>
        <w:rPr>
          <w:rFonts w:ascii="Calibri" w:hAnsi="Calibri"/>
          <w:b/>
          <w:color w:val="0A1F44"/>
          <w:sz w:val="40"/>
        </w:rPr>
        <w:t>Cyber Response Coordination</w:t>
      </w:r>
    </w:p>
    <w:p>
      <w:pPr>
        <w:spacing w:after="120"/>
      </w:pPr>
      <w:r>
        <w:rPr>
          <w:rFonts w:ascii="Georgia" w:hAnsi="Georgia"/>
          <w:i/>
          <w:color w:val="4B5563"/>
          <w:sz w:val="22"/>
        </w:rPr>
        <w:t>Chief Information Security Officer</w:t>
      </w:r>
    </w:p>
    <w:p>
      <w:pPr>
        <w:spacing w:after="120"/>
      </w:pPr>
      <w:r>
        <w:rPr>
          <w:rFonts w:ascii="Georgia" w:hAnsi="Georgia"/>
          <w:i w:val="0"/>
          <w:color w:val="111827"/>
          <w:sz w:val="22"/>
        </w:rPr>
        <w:t>The CISO briefed the Committee on Q1 cyber activity that ran concurrent with Phase 5 remediation work. The events of the past two quarters necessitated Mandiant assessment and prompted the Board's May decision to approve KES 95 million in cyber tooling investment across Q2-Q3. This activity placed additional demands on shared resources (IT, Risk, Compliance) during the Phase 5 convergence period.</w:t>
      </w:r>
    </w:p>
    <w:p>
      <w:pPr>
        <w:spacing w:after="120"/>
      </w:pPr>
      <w:r>
        <w:rPr>
          <w:rFonts w:ascii="Georgia" w:hAnsi="Georgia"/>
          <w:i w:val="0"/>
          <w:color w:val="111827"/>
          <w:sz w:val="22"/>
        </w:rPr>
        <w:t>The Committee noted management's decision to sequence cyber tooling implementation in coordination with digital lending remediation to avoid overwhelming operational capacity. The Chair had proposed at a prior meeting that full sequencing in 2026 was the prudent path given these concurrent demands, and the Phase 5 verification validated that approach. [5]</w:t>
      </w:r>
    </w:p>
    <w:p>
      <w:pPr>
        <w:spacing w:before="160" w:after="160"/>
        <w:ind w:left="720" w:right="720"/>
      </w:pPr>
      <w:r>
        <w:rPr>
          <w:rFonts w:ascii="Georgia" w:hAnsi="Georgia"/>
          <w:i/>
          <w:color w:val="0A1F44"/>
          <w:sz w:val="26"/>
        </w:rPr>
        <w:t>“Cyber response activity concurrent with Phase 5 remediation validated the Board's decision to sequence major initiatives across 2026.”</w:t>
      </w:r>
    </w:p>
    <w:p/>
    <w:p>
      <w:pPr>
        <w:spacing w:before="400" w:after="120"/>
      </w:pPr>
      <w:r>
        <w:rPr>
          <w:rFonts w:ascii="Calibri" w:hAnsi="Calibri"/>
          <w:b/>
          <w:color w:val="0A1F44"/>
          <w:sz w:val="40"/>
        </w:rPr>
        <w:t>Governance Oversight and Closure</w:t>
      </w:r>
    </w:p>
    <w:p>
      <w:pPr>
        <w:spacing w:after="120"/>
      </w:pPr>
      <w:r>
        <w:rPr>
          <w:rFonts w:ascii="Georgia" w:hAnsi="Georgia"/>
          <w:i/>
          <w:color w:val="4B5563"/>
          <w:sz w:val="22"/>
        </w:rPr>
        <w:t>Committee Chair</w:t>
      </w:r>
    </w:p>
    <w:p>
      <w:pPr>
        <w:spacing w:after="120"/>
      </w:pPr>
      <w:r>
        <w:rPr>
          <w:rFonts w:ascii="Georgia" w:hAnsi="Georgia"/>
          <w:i w:val="0"/>
          <w:color w:val="111827"/>
          <w:sz w:val="22"/>
        </w:rPr>
        <w:t>The Committee resolved to close Phase 5 Iteration-2 based on the verification report, with the understanding that the 16 remaining audit findings and three escalated items will continue under the existing governance framework rather than requiring a Phase 6 designation. The monthly reporting commitment through Q2 provides sufficient oversight during the Internal Audit Head transition.</w:t>
      </w:r>
    </w:p>
    <w:p>
      <w:pPr>
        <w:spacing w:after="120"/>
      </w:pPr>
      <w:r>
        <w:rPr>
          <w:rFonts w:ascii="Georgia" w:hAnsi="Georgia"/>
          <w:i w:val="0"/>
          <w:color w:val="111827"/>
          <w:sz w:val="22"/>
        </w:rPr>
        <w:t>The Committee directed that the verification report and this minutes record be provided to the incoming Internal Audit Head as part of the handover process, ensuring continuity of understanding regarding the Phase 5 architecture and outcomes. The Committee will receive the new Head's initial assessment at the June meeting, which may propose adjustments to tracking or escalation mechanisms based on fresh perspective. [1], [3], [5]</w:t>
      </w:r>
    </w:p>
    <w:p>
      <w:pPr>
        <w:spacing w:before="160" w:after="160"/>
        <w:ind w:left="720" w:right="720"/>
      </w:pPr>
      <w:r>
        <w:rPr>
          <w:rFonts w:ascii="Georgia" w:hAnsi="Georgia"/>
          <w:i/>
          <w:color w:val="0A1F44"/>
          <w:sz w:val="26"/>
        </w:rPr>
        <w:t>“Phase 5 Iteration-2 closed; remaining findings continue under existing governance framework with monthly Q2 reporting.”</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Management — Provide monthly reporting on 16 remaining audit findings, with detailed progress updates on the three items in 90-day escalation status</w:t>
      </w:r>
    </w:p>
    <w:p>
      <w:pPr>
        <w:spacing w:after="80"/>
      </w:pPr>
      <w:r>
        <w:rPr>
          <w:rFonts w:ascii="Calibri" w:hAnsi="Calibri"/>
          <w:b/>
          <w:color w:val="8B2E2B"/>
          <w:sz w:val="22"/>
        </w:rPr>
        <w:t xml:space="preserve">2.  </w:t>
      </w:r>
      <w:r>
        <w:rPr>
          <w:rFonts w:ascii="Georgia" w:hAnsi="Georgia"/>
          <w:color w:val="111827"/>
          <w:sz w:val="22"/>
        </w:rPr>
        <w:t>Internal Audit (incoming Head) — Complete initial assessment of Phase 5 outcomes and propose any adjustments to finding tracking or escalation mechanisms</w:t>
      </w:r>
    </w:p>
    <w:p>
      <w:pPr>
        <w:spacing w:after="80"/>
      </w:pPr>
      <w:r>
        <w:rPr>
          <w:rFonts w:ascii="Calibri" w:hAnsi="Calibri"/>
          <w:b/>
          <w:color w:val="8B2E2B"/>
          <w:sz w:val="22"/>
        </w:rPr>
        <w:t xml:space="preserve">3.  </w:t>
      </w:r>
      <w:r>
        <w:rPr>
          <w:rFonts w:ascii="Georgia" w:hAnsi="Georgia"/>
          <w:color w:val="111827"/>
          <w:sz w:val="22"/>
        </w:rPr>
        <w:t>Chief Risk Officer — Incorporate findings from AML post-implementation review into Q2 refinements and report outcomes to Committee</w:t>
      </w:r>
    </w:p>
    <w:p>
      <w:pPr>
        <w:spacing w:after="80"/>
      </w:pPr>
      <w:r>
        <w:rPr>
          <w:rFonts w:ascii="Calibri" w:hAnsi="Calibri"/>
          <w:b/>
          <w:color w:val="8B2E2B"/>
          <w:sz w:val="22"/>
        </w:rPr>
        <w:t xml:space="preserve">4.  </w:t>
      </w:r>
      <w:r>
        <w:rPr>
          <w:rFonts w:ascii="Georgia" w:hAnsi="Georgia"/>
          <w:color w:val="111827"/>
          <w:sz w:val="22"/>
        </w:rPr>
        <w:t>Management — Complete digital lending model refresh implementation and provide performance update</w:t>
      </w:r>
    </w:p>
    <w:p>
      <w:pPr>
        <w:spacing w:after="80"/>
      </w:pPr>
      <w:r>
        <w:rPr>
          <w:rFonts w:ascii="Calibri" w:hAnsi="Calibri"/>
          <w:b/>
          <w:color w:val="8B2E2B"/>
          <w:sz w:val="22"/>
        </w:rPr>
        <w:t xml:space="preserve">5.  </w:t>
      </w:r>
      <w:r>
        <w:rPr>
          <w:rFonts w:ascii="Georgia" w:hAnsi="Georgia"/>
          <w:color w:val="111827"/>
          <w:sz w:val="22"/>
        </w:rPr>
        <w:t>Chief Information Security Officer — Coordinate cyber tooling implementation timeline with digital lending remediation to manage operational capacity</w:t>
      </w:r>
    </w:p>
    <w:p>
      <w:pPr>
        <w:spacing w:after="80"/>
      </w:pPr>
      <w:r>
        <w:rPr>
          <w:rFonts w:ascii="Calibri" w:hAnsi="Calibri"/>
          <w:b/>
          <w:color w:val="8B2E2B"/>
          <w:sz w:val="22"/>
        </w:rPr>
        <w:t xml:space="preserve">6.  </w:t>
      </w:r>
      <w:r>
        <w:rPr>
          <w:rFonts w:ascii="Georgia" w:hAnsi="Georgia"/>
          <w:color w:val="111827"/>
          <w:sz w:val="22"/>
        </w:rPr>
        <w:t>Committee Secretary — Provide Phase 5 verification report and closure minutes to incoming Internal Audit Head as part of handover materials</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phase-5-iteration-2-verification-report.docx</w:t>
      </w:r>
    </w:p>
    <w:p>
      <w:pPr>
        <w:spacing w:after="60"/>
      </w:pPr>
      <w:r>
        <w:rPr>
          <w:rFonts w:ascii="Calibri" w:hAnsi="Calibri"/>
          <w:b/>
          <w:color w:val="8B2E2B"/>
          <w:sz w:val="20"/>
        </w:rPr>
        <w:t xml:space="preserve">[2]  </w:t>
      </w:r>
      <w:r>
        <w:rPr>
          <w:rFonts w:ascii="Georgia" w:hAnsi="Georgia"/>
          <w:color w:val="111827"/>
          <w:sz w:val="20"/>
        </w:rPr>
        <w:t>meeting-minutes-date-not-recorded.docx</w:t>
      </w:r>
    </w:p>
    <w:p>
      <w:pPr>
        <w:spacing w:after="60"/>
      </w:pPr>
      <w:r>
        <w:rPr>
          <w:rFonts w:ascii="Calibri" w:hAnsi="Calibri"/>
          <w:b/>
          <w:color w:val="8B2E2B"/>
          <w:sz w:val="20"/>
        </w:rPr>
        <w:t xml:space="preserve">[3]  </w:t>
      </w:r>
      <w:r>
        <w:rPr>
          <w:rFonts w:ascii="Georgia" w:hAnsi="Georgia"/>
          <w:color w:val="111827"/>
          <w:sz w:val="20"/>
        </w:rPr>
        <w:t>phase-5-iteration-2-verification-report.docx</w:t>
      </w:r>
    </w:p>
    <w:p>
      <w:pPr>
        <w:spacing w:after="60"/>
      </w:pPr>
      <w:r>
        <w:rPr>
          <w:rFonts w:ascii="Calibri" w:hAnsi="Calibri"/>
          <w:b/>
          <w:color w:val="8B2E2B"/>
          <w:sz w:val="20"/>
        </w:rPr>
        <w:t xml:space="preserve">[4]  </w:t>
      </w:r>
      <w:r>
        <w:rPr>
          <w:rFonts w:ascii="Georgia" w:hAnsi="Georgia"/>
          <w:color w:val="111827"/>
          <w:sz w:val="20"/>
        </w:rPr>
        <w:t>meeting-minutes.docx</w:t>
      </w:r>
    </w:p>
    <w:p>
      <w:pPr>
        <w:spacing w:after="60"/>
      </w:pPr>
      <w:r>
        <w:rPr>
          <w:rFonts w:ascii="Calibri" w:hAnsi="Calibri"/>
          <w:b/>
          <w:color w:val="8B2E2B"/>
          <w:sz w:val="20"/>
        </w:rPr>
        <w:t xml:space="preserve">[5]  </w:t>
      </w:r>
      <w:r>
        <w:rPr>
          <w:rFonts w:ascii="Georgia" w:hAnsi="Georgia"/>
          <w:color w:val="111827"/>
          <w:sz w:val="20"/>
        </w:rPr>
        <w:t>Ubora Q1 2026 Board Pack — Full Set</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P5 Iteration-2 Verification Closure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