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Phase 5 Iteration-2 Verification Report</w:t>
      </w:r>
    </w:p>
    <w:p>
      <w:r>
        <w:rPr>
          <w:rFonts w:ascii="Georgia" w:hAnsi="Georgia"/>
          <w:i/>
          <w:color w:val="4B5563"/>
          <w:sz w:val="30"/>
        </w:rPr>
        <w:t>Governance Architecture Assessment: Timeline Convergence and Capacity Adequacy</w:t>
      </w:r>
    </w:p>
    <w:p>
      <w:pPr>
        <w:spacing w:before="400"/>
      </w:pPr>
      <w:r>
        <w:rPr>
          <w:rFonts w:ascii="Calibri" w:hAnsi="Calibri"/>
          <w:color w:val="4B5563"/>
          <w:sz w:val="20"/>
        </w:rPr>
        <w:t>Prepared for P5 iter2 verify report — iter2 verify  ·  Q1 2026 (Verification as of March 2026)  ·  04 Jun 2026 · 14:25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verification examines three concurrent remediation workstreams converging on a 31 March 2026 deadline: audit findings closure (38 open, 13 high-risk, with 90-day escalation mechanism for three findings outstanding over twelve months), AML transaction monitoring validation (rules recalibrated 28 January, post-implementation review fieldwork starting 16 March), and provisioning adequacy (Q1 close at 50.2% coverage, PwC review fieldwork started 25 March with mid-April reporting). The governance structure demonstrates procedural rigour, but execution sequencing reveals temporal inversions: Q1 closes before the PwC adequacy review reports, and AML production readiness is declared six weeks before validation fieldwork begins. Capacity constraints are addressed reactively with temporary resources while permanent expansion (two FTEs) awaits May Board approval. The unchanged findings count from December to January (38 open, identical composition) indicates governance mechanisms have not yet generated closure velocity. Probability assessment: 25% clean validation by deadline, 45% partial validation requiring extensions characterized as optimization refinements, 20% material gaps requiring re-remediation, 10% governance process failure. The central risk is not whether gaps will be found, but whether the organization can distinguish between meeting declared deadlines and achieving durable remediation quality.</w:t>
      </w:r>
    </w:p>
    <w:p>
      <w:r>
        <w:br w:type="page"/>
      </w:r>
    </w:p>
    <w:p>
      <w:pPr>
        <w:spacing w:before="400" w:after="120"/>
      </w:pPr>
      <w:r>
        <w:rPr>
          <w:rFonts w:ascii="Calibri" w:hAnsi="Calibri"/>
          <w:b/>
          <w:color w:val="0A1F44"/>
          <w:sz w:val="40"/>
        </w:rPr>
        <w:t>Index</w:t>
      </w:r>
    </w:p>
    <w:p>
      <w:r>
        <w:rPr>
          <w:rFonts w:ascii="Calibri" w:hAnsi="Calibri"/>
          <w:color w:val="111827"/>
          <w:sz w:val="22"/>
        </w:rPr>
        <w:t>01.  Timeline Architecture and Temporal Inversions</w:t>
      </w:r>
    </w:p>
    <w:p>
      <w:r>
        <w:rPr>
          <w:rFonts w:ascii="Calibri" w:hAnsi="Calibri"/>
          <w:color w:val="111827"/>
          <w:sz w:val="22"/>
        </w:rPr>
        <w:t>02.  Capacity Constraints and Temporary Mitigations</w:t>
      </w:r>
    </w:p>
    <w:p>
      <w:r>
        <w:rPr>
          <w:rFonts w:ascii="Calibri" w:hAnsi="Calibri"/>
          <w:color w:val="111827"/>
          <w:sz w:val="22"/>
        </w:rPr>
        <w:t>03.  Provisioning Programme Trajectory and Model Limitations</w:t>
      </w:r>
    </w:p>
    <w:p>
      <w:r>
        <w:rPr>
          <w:rFonts w:ascii="Calibri" w:hAnsi="Calibri"/>
          <w:color w:val="111827"/>
          <w:sz w:val="22"/>
        </w:rPr>
        <w:t>04.  Regulatory Relationship Management and Commitment Dynamics</w:t>
      </w:r>
    </w:p>
    <w:p>
      <w:r>
        <w:rPr>
          <w:rFonts w:ascii="Calibri" w:hAnsi="Calibri"/>
          <w:color w:val="111827"/>
          <w:sz w:val="22"/>
        </w:rPr>
        <w:t>05.  Governance Mechanism Design and Effectiveness Evidence</w:t>
      </w:r>
    </w:p>
    <w:p>
      <w:r>
        <w:rPr>
          <w:rFonts w:ascii="Calibri" w:hAnsi="Calibri"/>
          <w:color w:val="111827"/>
          <w:sz w:val="22"/>
        </w:rPr>
        <w:t>06.  Scenario Assessment and Probability Distribution</w:t>
      </w:r>
    </w:p>
    <w:p>
      <w:r>
        <w:br w:type="page"/>
      </w:r>
    </w:p>
    <w:p>
      <w:pPr>
        <w:spacing w:before="400" w:after="120"/>
      </w:pPr>
      <w:r>
        <w:rPr>
          <w:rFonts w:ascii="Calibri" w:hAnsi="Calibri"/>
          <w:b/>
          <w:color w:val="0A1F44"/>
          <w:sz w:val="40"/>
        </w:rPr>
        <w:t>Timeline Architecture and Temporal Inversions</w:t>
      </w:r>
    </w:p>
    <w:p>
      <w:pPr>
        <w:spacing w:after="120"/>
      </w:pPr>
      <w:r>
        <w:rPr>
          <w:rFonts w:ascii="Georgia" w:hAnsi="Georgia"/>
          <w:i/>
          <w:color w:val="4B5563"/>
          <w:sz w:val="22"/>
        </w:rPr>
        <w:t>Validation Sequencing Relative to Closure Declarations</w:t>
      </w:r>
    </w:p>
    <w:p>
      <w:pPr>
        <w:spacing w:after="120"/>
      </w:pPr>
      <w:r>
        <w:rPr>
          <w:rFonts w:ascii="Georgia" w:hAnsi="Georgia"/>
          <w:i w:val="0"/>
          <w:color w:val="111827"/>
          <w:sz w:val="22"/>
        </w:rPr>
        <w:t>The three remediation workstreams share a 31 March 2026 convergence point, creating synchronized regulatory and Board commitments. The AML transaction monitoring rule recalibration completed 28 January and entered production observation, with Internal Audit post-implementation review fieldwork scheduled to begin 16 March. The provisioning programme targets Q1 close at 50.2% coverage (20 basis points above the regulatory minimum), with PwC interim adequacy review fieldwork commencing 25 March and reporting expected mid-April. The three audit findings outstanding over twelve months face a 90-day hard closure deadline with escalation to CEO and Board Chair if not resolved by quarter-end.</w:t>
      </w:r>
    </w:p>
    <w:p>
      <w:pPr>
        <w:spacing w:after="120"/>
      </w:pPr>
      <w:r>
        <w:rPr>
          <w:rFonts w:ascii="Georgia" w:hAnsi="Georgia"/>
          <w:i w:val="0"/>
          <w:color w:val="111827"/>
          <w:sz w:val="22"/>
        </w:rPr>
        <w:t>This sequencing creates logical inversions where results are declared before validation completes. The Q1 provisioning position closes at 50.2% coverage on 31 March, but the PwC adequacy review that validates this coverage began fieldwork on 25 March and will not report until mid-April. The organization will declare it met the regulatory minimum before receiving confirmation that the methodology producing that number is sound. Similarly, AML transaction monitoring entered production on 28 January, providing 6.5 weeks of operational exposure before post-implementation validation fieldwork begins on 16 March. If the review identifies issues with detection effectiveness or operational handling, there is minimal runway to remediate and still meet the 31 March CBK self-report closure commitment.</w:t>
      </w:r>
    </w:p>
    <w:p>
      <w:pPr>
        <w:spacing w:after="120"/>
      </w:pPr>
      <w:r>
        <w:rPr>
          <w:rFonts w:ascii="Georgia" w:hAnsi="Georgia"/>
          <w:i w:val="0"/>
          <w:color w:val="111827"/>
          <w:sz w:val="22"/>
        </w:rPr>
        <w:t>The Chair's expectation that formal CBK self-report closure be ready for filing by end of March if Internal Audit confirms remediation effectiveness establishes appropriate gating, but the timeline provides limited buffer. The 16 March fieldwork start allows two weeks for testing, findings documentation, management remediation of any issues identified, and preparation of closure documentation for regulatory filing. This compressed schedule creates pressure to characterize findings as optimization opportunities rather than remediation gaps to preserve the deadline commitment made in the 6 February statement of action, which was acknowledged by CBK without further immediate query.</w:t>
      </w:r>
    </w:p>
    <w:p>
      <w:pPr>
        <w:spacing w:before="160" w:after="160"/>
        <w:ind w:left="720" w:right="720"/>
      </w:pPr>
      <w:r>
        <w:rPr>
          <w:rFonts w:ascii="Georgia" w:hAnsi="Georgia"/>
          <w:i/>
          <w:color w:val="0A1F44"/>
          <w:sz w:val="26"/>
        </w:rPr>
        <w:t>“The organization will declare it met the regulatory minimum before receiving confirmation that the methodology producing that number is sound.”</w:t>
      </w:r>
    </w:p>
    <w:p/>
    <w:p>
      <w:pPr>
        <w:spacing w:before="400" w:after="120"/>
      </w:pPr>
      <w:r>
        <w:rPr>
          <w:rFonts w:ascii="Calibri" w:hAnsi="Calibri"/>
          <w:b/>
          <w:color w:val="0A1F44"/>
          <w:sz w:val="40"/>
        </w:rPr>
        <w:t>Capacity Constraints and Temporary Mitigations</w:t>
      </w:r>
    </w:p>
    <w:p>
      <w:pPr>
        <w:spacing w:after="120"/>
      </w:pPr>
      <w:r>
        <w:rPr>
          <w:rFonts w:ascii="Georgia" w:hAnsi="Georgia"/>
          <w:i/>
          <w:color w:val="4B5563"/>
          <w:sz w:val="22"/>
        </w:rPr>
        <w:t>Stop-Gap Measures Versus Permanent Expansion</w:t>
      </w:r>
    </w:p>
    <w:p>
      <w:pPr>
        <w:spacing w:after="120"/>
      </w:pPr>
      <w:r>
        <w:rPr>
          <w:rFonts w:ascii="Georgia" w:hAnsi="Georgia"/>
          <w:i w:val="0"/>
          <w:color w:val="111827"/>
          <w:sz w:val="22"/>
        </w:rPr>
        <w:t>The Audit Committee explicitly characterizes the addition of two external resources for backlog clearance as a stop-gap measure, with permanent capacity expansion of two FTEs recommended for Board approval at the May meeting. This defers structural capacity resolution until after the 31 March deadline cluster, meaning even if temporary resources succeed in meeting immediate commitments, Q2 begins with the same underlying capacity deficit. The approval timeline suggests new permanent staff would not be hired and onboarded until Q3 at earliest, creating a multi-quarter gap between when temporary capacity expires and when sustainable capacity is established.</w:t>
      </w:r>
    </w:p>
    <w:p>
      <w:pPr>
        <w:spacing w:after="120"/>
      </w:pPr>
      <w:r>
        <w:rPr>
          <w:rFonts w:ascii="Georgia" w:hAnsi="Georgia"/>
          <w:i w:val="0"/>
          <w:color w:val="111827"/>
          <w:sz w:val="22"/>
        </w:rPr>
        <w:t>The AML transaction monitoring recalibration produced a 40% increase in flagged transaction volume during the first two weeks of February, requiring operational capacity expansion to handle additional review workload. This reactive scaling—expanding capacity after volume increases rather than pre-positioning surge capacity—indicates the organization is responding to remediation consequences rather than anticipating them. The more sensitive rule calibration was a foreseeable outcome of addressing the detection gap; the operational impact should have been modeled and resourced before production deployment.</w:t>
      </w:r>
    </w:p>
    <w:p>
      <w:pPr>
        <w:spacing w:after="120"/>
      </w:pPr>
      <w:r>
        <w:rPr>
          <w:rFonts w:ascii="Georgia" w:hAnsi="Georgia"/>
          <w:i w:val="0"/>
          <w:color w:val="111827"/>
          <w:sz w:val="22"/>
        </w:rPr>
        <w:t>The unchanged audit findings count from December to January month-end (38 open, 13 high-risk, identical composition) provides operational evidence that the existing system, even with temporary augmentation, is not generating closure velocity. The Committee's response is to establish a Findings Remediation structure with 90-day deadlines and escalation mechanisms, treating the constraint as governance rather than execution capacity. If the organization cannot close findings month-over-month with temporary resources already in place, imposing quarterly deadlines is more likely to create batch processing at deadline than continuous flow. The three findings outstanding over twelve months—including the AML transaction monitoring issue underlying the CBK self-report—represent a 50% longer duration than the new 90-day standard being applied prospectively.</w:t>
      </w:r>
    </w:p>
    <w:p/>
    <w:p>
      <w:pPr>
        <w:spacing w:before="400" w:after="120"/>
      </w:pPr>
      <w:r>
        <w:rPr>
          <w:rFonts w:ascii="Calibri" w:hAnsi="Calibri"/>
          <w:b/>
          <w:color w:val="0A1F44"/>
          <w:sz w:val="40"/>
        </w:rPr>
        <w:t>Provisioning Programme Trajectory and Model Limitations</w:t>
      </w:r>
    </w:p>
    <w:p>
      <w:pPr>
        <w:spacing w:after="120"/>
      </w:pPr>
      <w:r>
        <w:rPr>
          <w:rFonts w:ascii="Georgia" w:hAnsi="Georgia"/>
          <w:i/>
          <w:color w:val="4B5563"/>
          <w:sz w:val="22"/>
        </w:rPr>
        <w:t>Coverage Adequacy Verification and Digital Lending Refresh Deferral</w:t>
      </w:r>
    </w:p>
    <w:p>
      <w:pPr>
        <w:spacing w:after="120"/>
      </w:pPr>
      <w:r>
        <w:rPr>
          <w:rFonts w:ascii="Georgia" w:hAnsi="Georgia"/>
          <w:i w:val="0"/>
          <w:color w:val="111827"/>
          <w:sz w:val="22"/>
        </w:rPr>
        <w:t>The Q1 provisioning close at 50.2% coverage was achieved by booking KES 325 million in provisions during the quarter against an original plan of KES 200 million, representing a 62.5% increase from budget. NPL closed at KES 3.21 billion (5.8% of loans, up from 4.7% at start of quarter), indicating continued portfolio deterioration requiring accelerated provisioning. The 20 basis point headroom above the 50% regulatory minimum provides limited buffer against further deterioration or methodology adjustments.</w:t>
      </w:r>
    </w:p>
    <w:p>
      <w:pPr>
        <w:spacing w:after="120"/>
      </w:pPr>
      <w:r>
        <w:rPr>
          <w:rFonts w:ascii="Georgia" w:hAnsi="Georgia"/>
          <w:i w:val="0"/>
          <w:color w:val="111827"/>
          <w:sz w:val="22"/>
        </w:rPr>
        <w:t>The Committee recommended management increase the March provisioning tranche by KES 40 million to ensure Q1 close at or above 50% coverage, and endorsed the digital lending model refresh with Q2 implementation recommended. This sequencing defers a known model limitation (digital lending provisioning methodology) to the quarter following the one where adequacy is being validated. If the current digital lending model produces inadequate provisions and this is identified in the PwC review, the organization cannot apply the refreshed model retroactively to Q1 without restating financials. The decision to defer model refresh to Q2 while simultaneously seeking external validation of Q1 adequacy creates potential for findings that require backward-looking corrections.</w:t>
      </w:r>
    </w:p>
    <w:p>
      <w:pPr>
        <w:spacing w:after="120"/>
      </w:pPr>
      <w:r>
        <w:rPr>
          <w:rFonts w:ascii="Georgia" w:hAnsi="Georgia"/>
          <w:i w:val="0"/>
          <w:color w:val="111827"/>
          <w:sz w:val="22"/>
        </w:rPr>
        <w:t>The Committee resolution endorses the existing provisioning trajectory subject to monthly verification and ongoing CBK engagement. This monthly verification cadence is appropriate for a metric 20 basis points above a regulatory threshold, but it also acknowledges the trajectory is not self-sustaining. The programme requires continuous management attention and regulatory dialogue to maintain compliance, rather than operating within a stable framework with ample margin. The PwC review, when it reports in mid-April, will provide the first external assessment of whether the methodology and assumptions producing 50.2% are defensible or require adjustment.</w:t>
      </w:r>
    </w:p>
    <w:p/>
    <w:p>
      <w:pPr>
        <w:spacing w:before="400" w:after="120"/>
      </w:pPr>
      <w:r>
        <w:rPr>
          <w:rFonts w:ascii="Calibri" w:hAnsi="Calibri"/>
          <w:b/>
          <w:color w:val="0A1F44"/>
          <w:sz w:val="40"/>
        </w:rPr>
        <w:t>Regulatory Relationship Management and Commitment Dynamics</w:t>
      </w:r>
    </w:p>
    <w:p>
      <w:pPr>
        <w:spacing w:after="120"/>
      </w:pPr>
      <w:r>
        <w:rPr>
          <w:rFonts w:ascii="Georgia" w:hAnsi="Georgia"/>
          <w:i/>
          <w:color w:val="4B5563"/>
          <w:sz w:val="22"/>
        </w:rPr>
        <w:t>Statement of Action Acknowledgment and Closure Conditionality</w:t>
      </w:r>
    </w:p>
    <w:p>
      <w:pPr>
        <w:spacing w:after="120"/>
      </w:pPr>
      <w:r>
        <w:rPr>
          <w:rFonts w:ascii="Georgia" w:hAnsi="Georgia"/>
          <w:i w:val="0"/>
          <w:color w:val="111827"/>
          <w:sz w:val="22"/>
        </w:rPr>
        <w:t>The written statement of action filed 6 February was acknowledged by the CBK supervisory team without further immediate query. This acknowledgment is procedurally neutral—it confirms receipt and initial review but does not constitute endorsement of the remediation approach or timeline. The absence of immediate query suggests the statement was not obviously deficient, but provides limited signal about whether CBK will accept 31 March closure when formally requested. The organization is interpreting this acknowledgment as permissive for proceeding with the planned timeline, but has not received explicit confirmation that the approach will satisfy regulatory expectations.</w:t>
      </w:r>
    </w:p>
    <w:p>
      <w:pPr>
        <w:spacing w:after="120"/>
      </w:pPr>
      <w:r>
        <w:rPr>
          <w:rFonts w:ascii="Georgia" w:hAnsi="Georgia"/>
          <w:i w:val="0"/>
          <w:color w:val="111827"/>
          <w:sz w:val="22"/>
        </w:rPr>
        <w:t>The AML transaction monitoring remediation timeline commits to closure by 31 March 2026, with management remaining on-track as of February reporting. This commitment was made in the statement of action before post-implementation validation fieldwork begins, creating path dependency: if Internal Audit identifies issues during March fieldwork, there is minimal time to remediate and still meet the externally-committed deadline. The regulatory commitment creates focus and urgency, but also creates incentive to characterize findings as minor refinements rather than substantive gaps to avoid deadline extension.</w:t>
      </w:r>
    </w:p>
    <w:p>
      <w:pPr>
        <w:spacing w:after="120"/>
      </w:pPr>
      <w:r>
        <w:rPr>
          <w:rFonts w:ascii="Georgia" w:hAnsi="Georgia"/>
          <w:i w:val="0"/>
          <w:color w:val="111827"/>
          <w:sz w:val="22"/>
        </w:rPr>
        <w:t>The Chair's expectation that formal CBK self-report closure be ready for filing by end of March if Internal Audit confirms remediation effectiveness establishes the correct dependency—regulatory closure should be contingent on internal validation. However, the conditional phrasing also reveals the organization has already committed to a timeline (31 March) before confirming the condition can be met (IA validation of effectiveness). This reversal of logical sequence—commit first, validate second—creates pressure on the validation process to produce results that support the pre-committed timeline rather than providing independent assessment that might require timeline adjustment.</w:t>
      </w:r>
    </w:p>
    <w:p/>
    <w:p>
      <w:pPr>
        <w:spacing w:before="400" w:after="120"/>
      </w:pPr>
      <w:r>
        <w:rPr>
          <w:rFonts w:ascii="Calibri" w:hAnsi="Calibri"/>
          <w:b/>
          <w:color w:val="0A1F44"/>
          <w:sz w:val="40"/>
        </w:rPr>
        <w:t>Governance Mechanism Design and Effectiveness Evidence</w:t>
      </w:r>
    </w:p>
    <w:p>
      <w:pPr>
        <w:spacing w:after="120"/>
      </w:pPr>
      <w:r>
        <w:rPr>
          <w:rFonts w:ascii="Georgia" w:hAnsi="Georgia"/>
          <w:i/>
          <w:color w:val="4B5563"/>
          <w:sz w:val="22"/>
        </w:rPr>
        <w:t>Escalation Architecture Versus Closure Velocity</w:t>
      </w:r>
    </w:p>
    <w:p>
      <w:pPr>
        <w:spacing w:after="120"/>
      </w:pPr>
      <w:r>
        <w:rPr>
          <w:rFonts w:ascii="Georgia" w:hAnsi="Georgia"/>
          <w:i w:val="0"/>
          <w:color w:val="111827"/>
          <w:sz w:val="22"/>
        </w:rPr>
        <w:t>The Committee recommendation to establish a Findings Remediation structure with 90-day closure targets and escalation to CEO and Board Chair for findings not closed by deadline demonstrates governance sophistication in design. The structure creates executive accountability and Board visibility for aging findings, addressing the procedural gap that allowed three findings to remain open over twelve months. The recommendation for Internal Audit headcount expansion of two FTEs to full Board for approval at May meeting acknowledges the structural capacity constraint underlying the findings backlog.</w:t>
      </w:r>
    </w:p>
    <w:p>
      <w:pPr>
        <w:spacing w:after="120"/>
      </w:pPr>
      <w:r>
        <w:rPr>
          <w:rFonts w:ascii="Georgia" w:hAnsi="Georgia"/>
          <w:i w:val="0"/>
          <w:color w:val="111827"/>
          <w:sz w:val="22"/>
        </w:rPr>
        <w:t>However, the unchanged findings count from December to January (38 open, 13 high-risk, identical composition) indicates the existing governance mechanisms have not yet generated closure velocity. The organization added temporary external resources during this period, established Committee oversight of the remediation programme, and created Board-level visibility of the three aging findings, but none of these interventions produced measurable reduction in open findings count or risk composition. This suggests the constraint is not solely governance attention or executive awareness, but includes factors such as remediation complexity, resource adequacy, or prioritization trade-offs that governance escalation alone cannot resolve.</w:t>
      </w:r>
    </w:p>
    <w:p>
      <w:pPr>
        <w:spacing w:after="120"/>
      </w:pPr>
      <w:r>
        <w:rPr>
          <w:rFonts w:ascii="Georgia" w:hAnsi="Georgia"/>
          <w:i w:val="0"/>
          <w:color w:val="111827"/>
          <w:sz w:val="22"/>
        </w:rPr>
        <w:t>The 90-day deadline for the three findings outstanding over twelve months creates a forcing function, but the consequence of missing the deadline remains undefined beyond escalation to CEO and Board Chair. Escalation is a process step, not an outcome. If the findings are not closed by 31 March and are escalated as designed, what Board-directed action follows? Without defined consequences or remediation authorities that escalation triggers, the mechanism risks becoming procedural theater—findings are escalated, noted, and remain open with new target dates. The effectiveness of the governance architecture will be measured not by whether escalation occurs, but by whether escalation produces closure that would not have occurred without it.</w:t>
      </w:r>
    </w:p>
    <w:p/>
    <w:p>
      <w:pPr>
        <w:spacing w:before="400" w:after="120"/>
      </w:pPr>
      <w:r>
        <w:rPr>
          <w:rFonts w:ascii="Calibri" w:hAnsi="Calibri"/>
          <w:b/>
          <w:color w:val="0A1F44"/>
          <w:sz w:val="40"/>
        </w:rPr>
        <w:t>Scenario Assessment and Probability Distribution</w:t>
      </w:r>
    </w:p>
    <w:p>
      <w:pPr>
        <w:spacing w:after="120"/>
      </w:pPr>
      <w:r>
        <w:rPr>
          <w:rFonts w:ascii="Georgia" w:hAnsi="Georgia"/>
          <w:i/>
          <w:color w:val="4B5563"/>
          <w:sz w:val="22"/>
        </w:rPr>
        <w:t>Validation Outcomes and Durable Capability Questions</w:t>
      </w:r>
    </w:p>
    <w:p>
      <w:pPr>
        <w:spacing w:after="120"/>
      </w:pPr>
      <w:r>
        <w:rPr>
          <w:rFonts w:ascii="Georgia" w:hAnsi="Georgia"/>
          <w:i w:val="0"/>
          <w:color w:val="111827"/>
          <w:sz w:val="22"/>
        </w:rPr>
        <w:t>Clean validation by 31 March (25% probability) requires that Internal Audit post-implementation review confirms AML rule recalibration is effective with acceptable false positive rates and operational handling, PwC April report confirms 50.2% provisioning was adequate despite reporting after quarter close, and all three findings outstanding over twelve months close by deadline. This outcome is plausible because governance mechanisms exist, temporary capacity has been added, and regulatory consequences create focus. The upper probability bound reflects that organizations can deliver when Board visibility and regulatory commitments align; the lower bound reflects that unchanged findings count and tight timelines with minimal buffer suggest structural drag.</w:t>
      </w:r>
    </w:p>
    <w:p>
      <w:pPr>
        <w:spacing w:after="120"/>
      </w:pPr>
      <w:r>
        <w:rPr>
          <w:rFonts w:ascii="Georgia" w:hAnsi="Georgia"/>
          <w:i w:val="0"/>
          <w:color w:val="111827"/>
          <w:sz w:val="22"/>
        </w:rPr>
        <w:t>Partial validation with extensions (45% probability, central scenario) anticipates that post-implementation review identifies operational issues such as false positive handling backlogs or inadequate documentation of review rationale, requiring process refinement that pushes true closure to May or June but allows CBK to accept 31 March as remediation implemented with optimization ongoing. PwC identifies provisioning model refinements needed but confirms coverage above 50% is defensible for Q1. One or two of the three aging findings close; one escalates per governance mechanism. This scenario reflects that tight timelines and capacity constraints make perfect execution unlikely, but catastrophic failure is also unlikely given visibility. Management has established fallback language such as production observation, interim review, and trajectory subject to monthly verification that allows partial credit.</w:t>
      </w:r>
    </w:p>
    <w:p>
      <w:pPr>
        <w:spacing w:after="120"/>
      </w:pPr>
      <w:r>
        <w:rPr>
          <w:rFonts w:ascii="Georgia" w:hAnsi="Georgia"/>
          <w:i w:val="0"/>
          <w:color w:val="111827"/>
          <w:sz w:val="22"/>
        </w:rPr>
        <w:t>Material gaps requiring re-remediation (20% probability) would emerge if Internal Audit finds the 28 January rule recalibration produces unacceptable false positive rates or misses transaction patterns that should trigger alerts, requiring another recalibration cycle. PwC finds provisioning methodology issues requiring model rebuild, with the digital lending model refresh deferred to Q2 actually needed retroactively for Q1. CBK rejects 31 March closure and requests revised timeline. This probability reflects that first-generation remediations frequently need refinement when implemented under time pressure with temporary capacity, but is bounded by the CBK acknowledgment without query suggesting preliminary comfort. Governance process failure (10% probability) would occur if May Board meeting declines the two FTE expansion or approves with delayed timeline, if recommended Findings Remediation structure is not implemented with authority and resources, or if temporary capacity expires before permanent solutions are in place causing Q2 backsliding.</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Complete PwC provisioning adequacy review and Internal Audit post-implementation review before filing CBK self-report closure, even if this requires extending the 31 March deadline to ensure validation precedes declaration.</w:t>
      </w:r>
    </w:p>
    <w:p>
      <w:pPr>
        <w:spacing w:after="80"/>
      </w:pPr>
      <w:r>
        <w:rPr>
          <w:rFonts w:ascii="Calibri" w:hAnsi="Calibri"/>
          <w:b/>
          <w:color w:val="8B2E2B"/>
          <w:sz w:val="22"/>
        </w:rPr>
        <w:t xml:space="preserve">2.  </w:t>
      </w:r>
      <w:r>
        <w:rPr>
          <w:rFonts w:ascii="Georgia" w:hAnsi="Georgia"/>
          <w:color w:val="111827"/>
          <w:sz w:val="22"/>
        </w:rPr>
        <w:t>Accelerate the May Board meeting FTE approval decision to February or March to enable hiring and onboarding before temporary resources expire, preventing capacity gaps in Q2 and Q3.</w:t>
      </w:r>
    </w:p>
    <w:p>
      <w:pPr>
        <w:spacing w:after="80"/>
      </w:pPr>
      <w:r>
        <w:rPr>
          <w:rFonts w:ascii="Calibri" w:hAnsi="Calibri"/>
          <w:b/>
          <w:color w:val="8B2E2B"/>
          <w:sz w:val="22"/>
        </w:rPr>
        <w:t xml:space="preserve">3.  </w:t>
      </w:r>
      <w:r>
        <w:rPr>
          <w:rFonts w:ascii="Georgia" w:hAnsi="Georgia"/>
          <w:color w:val="111827"/>
          <w:sz w:val="22"/>
        </w:rPr>
        <w:t>Define specific Board-directed remediation authorities and consequences that escalation to CEO and Board Chair triggers, converting the escalation mechanism from process step to action-forcing event.</w:t>
      </w:r>
    </w:p>
    <w:p>
      <w:pPr>
        <w:spacing w:after="80"/>
      </w:pPr>
      <w:r>
        <w:rPr>
          <w:rFonts w:ascii="Calibri" w:hAnsi="Calibri"/>
          <w:b/>
          <w:color w:val="8B2E2B"/>
          <w:sz w:val="22"/>
        </w:rPr>
        <w:t xml:space="preserve">4.  </w:t>
      </w:r>
      <w:r>
        <w:rPr>
          <w:rFonts w:ascii="Georgia" w:hAnsi="Georgia"/>
          <w:color w:val="111827"/>
          <w:sz w:val="22"/>
        </w:rPr>
        <w:t>Implement the digital lending provisioning model refresh in Q1 rather than Q2 to ensure the PwC adequacy review validates the model that will be used going forward, not a model already scheduled for replacement.</w:t>
      </w:r>
    </w:p>
    <w:p>
      <w:pPr>
        <w:spacing w:after="80"/>
      </w:pPr>
      <w:r>
        <w:rPr>
          <w:rFonts w:ascii="Calibri" w:hAnsi="Calibri"/>
          <w:b/>
          <w:color w:val="8B2E2B"/>
          <w:sz w:val="22"/>
        </w:rPr>
        <w:t xml:space="preserve">5.  </w:t>
      </w:r>
      <w:r>
        <w:rPr>
          <w:rFonts w:ascii="Georgia" w:hAnsi="Georgia"/>
          <w:color w:val="111827"/>
          <w:sz w:val="22"/>
        </w:rPr>
        <w:t>Establish continuous monitoring protocols during AML production observation period (28 January to 16 March) rather than treating observation as passive, providing early indication of issues before formal post-implementation fieldwork begins.</w:t>
      </w:r>
    </w:p>
    <w:p>
      <w:r>
        <w:br w:type="page"/>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P5 iter2 verify report — iter2 verify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