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200" w:after="160"/>
      </w:pPr>
      <w:r>
        <w:rPr>
          <w:rFonts w:ascii="Georgia" w:hAnsi="Georgia"/>
          <w:b/>
          <w:color w:val="0A1F44"/>
          <w:sz w:val="56"/>
        </w:rPr>
        <w:t>Specification Required</w:t>
      </w:r>
    </w:p>
    <w:p>
      <w:pPr>
        <w:spacing w:after="80"/>
      </w:pPr>
      <w:r>
        <w:rPr>
          <w:rFonts w:ascii="Georgia" w:hAnsi="Georgia"/>
          <w:i/>
          <w:color w:val="4B5563"/>
          <w:sz w:val="28"/>
        </w:rPr>
        <w:t>Template Structure Awaiting Content Parameters</w:t>
      </w:r>
    </w:p>
    <w:p>
      <w:pPr>
        <w:spacing w:before="240"/>
      </w:pPr>
      <w:r>
        <w:rPr>
          <w:rFonts w:ascii="Calibri" w:hAnsi="Calibri"/>
          <w:color w:val="4B5563"/>
          <w:sz w:val="20"/>
        </w:rPr>
        <w:t>Prepared for Work Studio  ·  2025-01-20  ·  07 May 2026 · 03:02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deliverable template is prepared to receive task specifications. The reasoning rail completed Pass 1 analysis and identified three candidate interpretations: a structural test case (65% probability), intentional exploration of ambiguity handling (25%), or incomplete input (10%). Without defined description, objective, or scope, the reasoning architecture cannot triangulate against domain knowledge or project constraints. The framework remains operational and ready to apply four-layer analysis once substantive parameters are provided. To generate a functional deliverable, replace placeholder values with actual task content including problem statement, success criteria, and boundary conditions.</w:t>
      </w:r>
    </w:p>
    <w:p/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Current State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All three input fields (description, objective, scope) contain placeholder values. The reasoning rail has processed this configuration through probability-weighted analysis and determined this most likely represents a template structure check rather than incomplete data entry.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deliverable composer architecture is operational. The banned word filter, citation tracking system, and four-layer reasoning framework are active and ready to process actual task specifications when provided.</w:t>
      </w:r>
    </w:p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Required Inputs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 functional deliverable requires three elements: description of the problem or context, objective defining success criteria, and scope establishing boundaries. These parameters enable the reasoning rail to triangulate against domain knowledge and identify appropriate framings.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Classification, period, and target audience can be derived from task content. Without substantive specifications, these fields default to template values that should be replaced during actual task execution.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Work Studio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