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200" w:after="160"/>
      </w:pPr>
      <w:r>
        <w:rPr>
          <w:rFonts w:ascii="Georgia" w:hAnsi="Georgia"/>
          <w:b/>
          <w:color w:val="0A1F44"/>
          <w:sz w:val="56"/>
        </w:rPr>
        <w:t>Q1 2026 Risk Posture Assessment</w:t>
      </w:r>
    </w:p>
    <w:p>
      <w:pPr>
        <w:spacing w:after="80"/>
      </w:pPr>
      <w:r>
        <w:rPr>
          <w:rFonts w:ascii="Georgia" w:hAnsi="Georgia"/>
          <w:i/>
          <w:color w:val="4B5563"/>
          <w:sz w:val="28"/>
        </w:rPr>
        <w:t>Series B Viability, Strategic Positioning, and Execution Dependencies</w:t>
      </w:r>
    </w:p>
    <w:p>
      <w:pPr>
        <w:spacing w:before="240"/>
      </w:pPr>
      <w:r>
        <w:rPr>
          <w:rFonts w:ascii="Calibri" w:hAnsi="Calibri"/>
          <w:color w:val="4B5563"/>
          <w:sz w:val="20"/>
        </w:rPr>
        <w:t>Prepared for Audit Committee Chair  ·  Q1 2026  ·  07 May 2026 · 03:13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Q1 closed at $2.52M ARR with trajectory improvement in March, but the Series B narrative rests on a single critical dependency: NRR stabilisation above 102% through Q2. Current NRR sits at 103-104% TTM but has drifted at -100bps monthly trailing. The integrations-over-AI strategic decision has strong cohort evidence — customers with 3+ integrations show 96% gross retention versus 65% for single-integration customers — but carries a 6-9 month proof horizon. If market buying criteria shift to AI-primary within that window, positioning is materially off-trend. Execution capacity faces pressure from three concurrent demands: 10% reallocation to predictive health programs, incomplete marketing messaging refresh blocking integrations strategy market traction, and retention risk shifting from stress departures to opportunity exits as labour market conditions improve. The $20-30M Series B at target valuation is plausible for Q4 2026 launch only if NRR holds through Q2-Q3. Below 100% creates structural pricing pressure and forces bridge or down-round scenarios.</w:t>
      </w:r>
    </w:p>
    <w:p/>
    <w:p>
      <w:pPr>
        <w:spacing w:before="280" w:after="120"/>
      </w:pPr>
      <w:r>
        <w:rPr>
          <w:rFonts w:ascii="Calibri" w:hAnsi="Calibri"/>
          <w:b/>
          <w:color w:val="0A1F44"/>
          <w:sz w:val="28"/>
        </w:rPr>
        <w:t>Primary Risk: Series B Narrative Dependency on NRR Trajectory</w:t>
      </w:r>
    </w:p>
    <w:p>
      <w:pPr>
        <w:spacing w:after="120"/>
      </w:pPr>
      <w:r>
        <w:rPr>
          <w:rFonts w:ascii="Georgia" w:hAnsi="Georgia"/>
          <w:i w:val="0"/>
          <w:color w:val="111827"/>
          <w:sz w:val="22"/>
        </w:rPr>
        <w:t>The most consequential metric for the round narrative is NRR trajectory through Q2. Current NRR stands at 103-104% trailing twelve months, but the monthly trailing drift of -100bps represents a structural concern distinct from normal variance. In February, the MeshConnect churn event — $84K ARR loss — flowed through without mitigation, demonstrating exposure to single-customer concentration risk within the ARR base.</w:t>
      </w:r>
    </w:p>
    <w:p>
      <w:pPr>
        <w:spacing w:after="120"/>
      </w:pPr>
      <w:r>
        <w:rPr>
          <w:rFonts w:ascii="Georgia" w:hAnsi="Georgia"/>
          <w:i w:val="0"/>
          <w:color w:val="111827"/>
          <w:sz w:val="22"/>
        </w:rPr>
        <w:t>If NRR stabilises above 102% by mid-year, the round narrative is strong. Below 100% creates structural pricing pressure. The probability range for stabilisation above 102% by Q2 end is 35-55%, conditioned on March improvement extending through Q2 and no repeat MeshConnect-scale churn events. The Series B round position at current trajectory is $20-30M at meaningfully higher valuation than Series A, plausible for Q4 2026 kick-off, but this outcome is contingent on NRR holding 102%+ through Q2-Q3 and growth metric stabilisation.</w:t>
      </w:r>
    </w:p>
    <w:p>
      <w:pPr>
        <w:spacing w:after="120"/>
      </w:pPr>
      <w:r>
        <w:rPr>
          <w:rFonts w:ascii="Georgia" w:hAnsi="Georgia"/>
          <w:i w:val="0"/>
          <w:color w:val="111827"/>
          <w:sz w:val="22"/>
        </w:rPr>
        <w:t>The measurement window for round viability is 8-12 weeks. If NRR drops below 100% in Q2, the narrative collapses to bridge or down-round scenarios regardless of other metric performance. This single-point-of-failure characteristic warrants committee-level monitoring given the capital runway implications. [1]</w:t>
      </w:r>
    </w:p>
    <w:p>
      <w:pPr>
        <w:spacing w:before="280" w:after="120"/>
      </w:pPr>
      <w:r>
        <w:rPr>
          <w:rFonts w:ascii="Calibri" w:hAnsi="Calibri"/>
          <w:b/>
          <w:color w:val="0A1F44"/>
          <w:sz w:val="28"/>
        </w:rPr>
        <w:t>Strategic Positioning Risk: Integrations-vs-AI Decision</w:t>
      </w:r>
    </w:p>
    <w:p>
      <w:pPr>
        <w:spacing w:after="120"/>
      </w:pPr>
      <w:r>
        <w:rPr>
          <w:rFonts w:ascii="Georgia" w:hAnsi="Georgia"/>
          <w:i w:val="0"/>
          <w:color w:val="111827"/>
          <w:sz w:val="22"/>
        </w:rPr>
        <w:t>The integrations-vs-AI decision is the most important strategic call made this year. The decision commits to integrations as the moat over the next 6 quarters, with AI features remaining on roadmap but not leading positioning. This decision rests on three pieces of evidence: cohort analysis showing customers with 3+ integrations have 96% gross retention versus 65% for 1-integration customers, consistent across all segments; customer interview data through Q4 2025 showing integrations as the dominant retention driver; and competitive analysis showing AI as undifferentiated in the current market.</w:t>
      </w:r>
    </w:p>
    <w:p>
      <w:pPr>
        <w:spacing w:after="120"/>
      </w:pPr>
      <w:r>
        <w:rPr>
          <w:rFonts w:ascii="Georgia" w:hAnsi="Georgia"/>
          <w:i w:val="0"/>
          <w:color w:val="111827"/>
          <w:sz w:val="22"/>
        </w:rPr>
        <w:t>The risk operates on two dimensions. First, the integrations strategy has a 6-9 month proof horizon before cohort retention improvements flow through to TTM NRR — the decision is correct on current evidence but requires sustained execution to validate. Second, if the market materially shifts to AI as a primary buying criterion (as opposed to a feature) within that window, positioning is off-trend. The mitigation — AI features continue to ship within integrations — is weak if market positioning determines deal flow entry rather than feature comparison at later stages.</w:t>
      </w:r>
    </w:p>
    <w:p>
      <w:pPr>
        <w:spacing w:after="120"/>
      </w:pPr>
      <w:r>
        <w:rPr>
          <w:rFonts w:ascii="Georgia" w:hAnsi="Georgia"/>
          <w:i w:val="0"/>
          <w:color w:val="111827"/>
          <w:sz w:val="22"/>
        </w:rPr>
        <w:t>The probability that integrations strategy proves correct is 60-75% based on cohort retention strength. However, being correct on customer retention does not guarantee Series B viability if buyer behaviour shifts faster than the proof horizon allows. The strategy creates durable moat assuming 12-18 month market stability; it creates round-narrative risk if AI narrative dominance compresses that window to 6 months. [1]</w:t>
      </w:r>
    </w:p>
    <w:p>
      <w:pPr>
        <w:spacing w:before="280" w:after="120"/>
      </w:pPr>
      <w:r>
        <w:rPr>
          <w:rFonts w:ascii="Calibri" w:hAnsi="Calibri"/>
          <w:b/>
          <w:color w:val="0A1F44"/>
          <w:sz w:val="28"/>
        </w:rPr>
        <w:t>Execution Capacity Pressure and Delivery Risk</w:t>
      </w:r>
    </w:p>
    <w:p>
      <w:pPr>
        <w:spacing w:after="120"/>
      </w:pPr>
      <w:r>
        <w:rPr>
          <w:rFonts w:ascii="Georgia" w:hAnsi="Georgia"/>
          <w:i w:val="0"/>
          <w:color w:val="111827"/>
          <w:sz w:val="22"/>
        </w:rPr>
        <w:t>Q2 roadmap delivery faces pressure from three concurrent dependencies. First, the customer health predictive program now takes 10% of capacity that was previously customer-driven feature work — a strategic tax on velocity that pays forward only if retention improvements materialise within 2-3 quarters. Second, the marketing messaging refresh required to land the integrations strategy in the market remains unbudgeted and unscheduled, creating coordination risk between strategic decision and market communication. Third, Mara Chen's continued ramp to full senior contribution is proceeding faster than expected, but if ramp slips, Q2 roadmap is at risk.</w:t>
      </w:r>
    </w:p>
    <w:p>
      <w:pPr>
        <w:spacing w:after="120"/>
      </w:pPr>
      <w:r>
        <w:rPr>
          <w:rFonts w:ascii="Georgia" w:hAnsi="Georgia"/>
          <w:i w:val="0"/>
          <w:color w:val="111827"/>
          <w:sz w:val="22"/>
        </w:rPr>
        <w:t>Retention risk is shifting character. The engagement pulse shows 81% favourable across all teams, up from 78% in the October survey, with engineering improving by 8 points. The recovery is real. However, the forward concern is that as the company exits the Q4 stabilisation period, retention risk shifts from stress departures to opportunity exits. In an improved labour market with restored team morale, poaching risk increases particularly among senior individual contributors and leadership. This shift is observational rather than quantified — no cohort analysis by tenure or function has been provided.</w:t>
      </w:r>
    </w:p>
    <w:p>
      <w:pPr>
        <w:spacing w:after="120"/>
      </w:pPr>
      <w:r>
        <w:rPr>
          <w:rFonts w:ascii="Georgia" w:hAnsi="Georgia"/>
          <w:i w:val="0"/>
          <w:color w:val="111827"/>
          <w:sz w:val="22"/>
        </w:rPr>
        <w:t>The combined probability of material execution slip in Q2 is 40-60%. March momentum is real but not yet durable. The burn multiple improved to 1.7x from 1.9x in February, and net new ARR accelerated 42% month-on-month to $108K. However, single-month trajectory improvement does not confirm sustained recovery, and the capacity reallocation creates delivery risk if any of the three dependencies (predictive health ROI, messaging refresh completion, senior talent retention) underperform. [1]</w:t>
      </w:r>
    </w:p>
    <w:p>
      <w:pPr>
        <w:spacing w:before="280" w:after="120"/>
      </w:pPr>
      <w:r>
        <w:rPr>
          <w:rFonts w:ascii="Calibri" w:hAnsi="Calibri"/>
          <w:b/>
          <w:color w:val="0A1F44"/>
          <w:sz w:val="28"/>
        </w:rPr>
        <w:t>Financial Position and Runway Dynamics</w:t>
      </w:r>
    </w:p>
    <w:p>
      <w:pPr>
        <w:spacing w:after="120"/>
      </w:pPr>
      <w:r>
        <w:rPr>
          <w:rFonts w:ascii="Georgia" w:hAnsi="Georgia"/>
          <w:i w:val="0"/>
          <w:color w:val="111827"/>
          <w:sz w:val="22"/>
        </w:rPr>
        <w:t>Q1 closed at $2.52M ARR with $108K monthly net new ARR average, below plan but with trajectory bent back in March. The burn multiple holding at 1.9x in February before improving to 1.7x in March demonstrates capital efficiency stabilisation, but the NRR softening remains the variable to watch. The runway calculation absorbed the MeshConnect loss; without that $84K ARR churn event, runway position would be 17.0 months, indicating single-customer ARR concentration creates meaningful runway variance.</w:t>
      </w:r>
    </w:p>
    <w:p>
      <w:pPr>
        <w:spacing w:after="120"/>
      </w:pPr>
      <w:r>
        <w:rPr>
          <w:rFonts w:ascii="Georgia" w:hAnsi="Georgia"/>
          <w:i w:val="0"/>
          <w:color w:val="111827"/>
          <w:sz w:val="22"/>
        </w:rPr>
        <w:t>The variances to plan remain material. February closed 8 deals versus a plan of 10, and the MeshConnect churn flowed through without mitigation. The question for Q2 is whether the March improvement extends or represents month-to-month variance within a sideways trajectory. Pipeline conversion in Q2 is the leading indicator for growth metric stabilisation required for Series B positioning.</w:t>
      </w:r>
    </w:p>
    <w:p>
      <w:pPr>
        <w:spacing w:after="120"/>
      </w:pPr>
      <w:r>
        <w:rPr>
          <w:rFonts w:ascii="Georgia" w:hAnsi="Georgia"/>
          <w:i w:val="0"/>
          <w:color w:val="111827"/>
          <w:sz w:val="22"/>
        </w:rPr>
        <w:t>Capital efficiency improvement from 1.9x to 1.7x burn multiple represents real progress, but occurs against the backdrop of below-plan net new ARR. The efficiency gain is primarily expense discipline rather than revenue acceleration. For Series B narrative strength, growth must resume trajectory while maintaining or improving capital efficiency — a dual requirement that increases execution difficulty in Q2. [1]</w:t>
      </w:r>
    </w:p>
    <w:p>
      <w:pPr>
        <w:spacing w:before="280" w:after="120"/>
      </w:pPr>
      <w:r>
        <w:rPr>
          <w:rFonts w:ascii="Calibri" w:hAnsi="Calibri"/>
          <w:b/>
          <w:color w:val="0A1F44"/>
          <w:sz w:val="28"/>
        </w:rPr>
        <w:t>Risk Assessment Gaps and Monitoring Requirements</w:t>
      </w:r>
    </w:p>
    <w:p>
      <w:pPr>
        <w:spacing w:after="120"/>
      </w:pPr>
      <w:r>
        <w:rPr>
          <w:rFonts w:ascii="Georgia" w:hAnsi="Georgia"/>
          <w:i w:val="0"/>
          <w:color w:val="111827"/>
          <w:sz w:val="22"/>
        </w:rPr>
        <w:t>The current risk corpus does not contain specification of what specifically would cause NRR to drop below 100%. The structural pricing pressure reference is asserted rather than explained — is the risk price compression on renewals, competitive displacement, usage decline among existing customers, or contraction in seat count? Without causal clarity, mitigation planning operates blind.</w:t>
      </w:r>
    </w:p>
    <w:p>
      <w:pPr>
        <w:spacing w:after="120"/>
      </w:pPr>
      <w:r>
        <w:rPr>
          <w:rFonts w:ascii="Georgia" w:hAnsi="Georgia"/>
          <w:i w:val="0"/>
          <w:color w:val="111827"/>
          <w:sz w:val="22"/>
        </w:rPr>
        <w:t>The opportunity exits concern raised in the people function is noted but not quantified. How many individuals are at flight risk? Which functions and tenure cohorts? What is the retention differential between employees hired pre-stabilisation versus post-stabilisation? The absence of quantified retention cohort analysis limits the committee's ability to assess whether the 40-60% execution slip probability is conservative or aggressive.</w:t>
      </w:r>
    </w:p>
    <w:p>
      <w:pPr>
        <w:spacing w:after="120"/>
      </w:pPr>
      <w:r>
        <w:rPr>
          <w:rFonts w:ascii="Georgia" w:hAnsi="Georgia"/>
          <w:i w:val="0"/>
          <w:color w:val="111827"/>
          <w:sz w:val="22"/>
        </w:rPr>
        <w:t>The audit committee framing implies financial controls and compliance risk assessment, but the grounding corpus contains exclusively operational and strategic risk. Either the committee scope has expanded beyond traditional audit function, or there exists a risk domain — financial reporting accuracy, vendor risk management, data security and privacy compliance — that is absent from this assessment. Clarification of committee scope is required to determine whether this briefing addresses the intended risk surface. [1]</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Syni Q1 2026 Executive Cycle</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Audit Committee Chair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