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libri" w:hAnsi="Calibri"/>
          <w:b/>
          <w:color w:val="F7F3EA"/>
          <w:sz w:val="16"/>
          <w:shd w:val="clear" w:color="auto" w:fill="0A1F44"/>
        </w:rPr>
        <w:t xml:space="preserve">  CLASSIFICATION  ·  INTERNAL  </w:t>
      </w:r>
    </w:p>
    <w:p>
      <w:pPr>
        <w:spacing w:before="1600"/>
      </w:pPr>
      <w:r>
        <w:rPr>
          <w:rFonts w:ascii="Georgia" w:hAnsi="Georgia"/>
          <w:b/>
          <w:color w:val="0A1F44"/>
          <w:sz w:val="64"/>
        </w:rPr>
        <w:t>Q4 Risk Posture — Audit Committee Report</w:t>
      </w:r>
    </w:p>
    <w:p>
      <w:r>
        <w:rPr>
          <w:rFonts w:ascii="Georgia" w:hAnsi="Georgia"/>
          <w:i/>
          <w:color w:val="4B5563"/>
          <w:sz w:val="30"/>
        </w:rPr>
        <w:t>Enhanced Edition</w:t>
      </w:r>
    </w:p>
    <w:p>
      <w:pPr>
        <w:spacing w:before="400"/>
      </w:pPr>
      <w:r>
        <w:rPr>
          <w:rFonts w:ascii="Calibri" w:hAnsi="Calibri"/>
          <w:color w:val="4B5563"/>
          <w:sz w:val="20"/>
        </w:rPr>
        <w:t>Prepared for Audit Committee  ·  Q4 2026  ·  07 May 2026 · 03:46 UTC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Executive summary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bank maintained covenant headroom in Q4, with net leverage at 2.4x against a 3.0x threshold. Two amber items require attention: counterparty concentration reached 41% across the top three exposures, and operational resilience services missed recovery-time objectives. The committee should review the counterparty diversification plan and operational remediation timeline. Enhanced monitoring cadence is recommended for Q1 2027.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Index</w:t>
      </w:r>
    </w:p>
    <w:p>
      <w:r>
        <w:rPr>
          <w:rFonts w:ascii="Calibri" w:hAnsi="Calibri"/>
          <w:color w:val="111827"/>
          <w:sz w:val="22"/>
        </w:rPr>
        <w:t>01.  Covenant Headroom</w:t>
      </w:r>
    </w:p>
    <w:p>
      <w:r>
        <w:rPr>
          <w:rFonts w:ascii="Calibri" w:hAnsi="Calibri"/>
          <w:color w:val="111827"/>
          <w:sz w:val="22"/>
        </w:rPr>
        <w:t>02.  Counterparty Concentration</w:t>
      </w:r>
    </w:p>
    <w:p>
      <w:r>
        <w:rPr>
          <w:rFonts w:ascii="Calibri" w:hAnsi="Calibri"/>
          <w:color w:val="111827"/>
          <w:sz w:val="22"/>
        </w:rPr>
        <w:t>03.  Operational Resilience</w:t>
      </w:r>
    </w:p>
    <w:p>
      <w:r>
        <w:rPr>
          <w:rFonts w:ascii="Calibri" w:hAnsi="Calibri"/>
          <w:color w:val="111827"/>
          <w:sz w:val="22"/>
        </w:rPr>
        <w:t>04.  Q1 2027 Focus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Covenant Headroom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Net leverage closed the quarter at 2.4x, maintaining stable distance from the 3.0x covenant threshold.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This position provides adequate buffer for near-term operations and remains within risk appetite parameters. [1]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Counterparty Concentration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Counterparty concentration moved into amber status during Q4, with the top three counterparties representing 41% of total exposure.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This concentration level triggers heightened monitoring under the risk framework and requires committee review of the diversification plan. [1]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Operational Resilience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Two operational resilience items closed the quarter in amber status, reflecting services that missed recovery-time objectives.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Remediation plans are in place and require committee oversight of execution timelines and milestone achievement. [1]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Q1 2027 Focus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risk function recommends enhanced monitoring cadence for Q1 2027 to track remediation progress on the two amber items.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Committee attention should centre on counterparty diversification execution and operational resilience recovery plans. [1]</w:t>
      </w:r>
    </w:p>
    <w:p/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Recommendations</w:t>
      </w:r>
    </w:p>
    <w:p>
      <w:pPr>
        <w:spacing w:after="80"/>
      </w:pPr>
      <w:r>
        <w:rPr>
          <w:rFonts w:ascii="Calibri" w:hAnsi="Calibri"/>
          <w:b/>
          <w:color w:val="8B2E2B"/>
          <w:sz w:val="22"/>
        </w:rPr>
        <w:t xml:space="preserve">1.  </w:t>
      </w:r>
      <w:r>
        <w:rPr>
          <w:rFonts w:ascii="Georgia" w:hAnsi="Georgia"/>
          <w:color w:val="111827"/>
          <w:sz w:val="22"/>
        </w:rPr>
        <w:t>Approve enhanced monitoring cadence for Q1 2027</w:t>
      </w:r>
    </w:p>
    <w:p>
      <w:pPr>
        <w:spacing w:after="80"/>
      </w:pPr>
      <w:r>
        <w:rPr>
          <w:rFonts w:ascii="Calibri" w:hAnsi="Calibri"/>
          <w:b/>
          <w:color w:val="8B2E2B"/>
          <w:sz w:val="22"/>
        </w:rPr>
        <w:t xml:space="preserve">2.  </w:t>
      </w:r>
      <w:r>
        <w:rPr>
          <w:rFonts w:ascii="Georgia" w:hAnsi="Georgia"/>
          <w:color w:val="111827"/>
          <w:sz w:val="22"/>
        </w:rPr>
        <w:t>Review counterparty diversification plan execution</w:t>
      </w:r>
    </w:p>
    <w:p>
      <w:pPr>
        <w:spacing w:after="80"/>
      </w:pPr>
      <w:r>
        <w:rPr>
          <w:rFonts w:ascii="Calibri" w:hAnsi="Calibri"/>
          <w:b/>
          <w:color w:val="8B2E2B"/>
          <w:sz w:val="22"/>
        </w:rPr>
        <w:t xml:space="preserve">3.  </w:t>
      </w:r>
      <w:r>
        <w:rPr>
          <w:rFonts w:ascii="Georgia" w:hAnsi="Georgia"/>
          <w:color w:val="111827"/>
          <w:sz w:val="22"/>
        </w:rPr>
        <w:t>Oversee operational resilience remediation timelines</w:t>
      </w:r>
    </w:p>
    <w:p>
      <w:pPr>
        <w:spacing w:after="80"/>
      </w:pPr>
      <w:r>
        <w:rPr>
          <w:rFonts w:ascii="Calibri" w:hAnsi="Calibri"/>
          <w:b/>
          <w:color w:val="8B2E2B"/>
          <w:sz w:val="22"/>
        </w:rPr>
        <w:t xml:space="preserve">4.  </w:t>
      </w:r>
      <w:r>
        <w:rPr>
          <w:rFonts w:ascii="Georgia" w:hAnsi="Georgia"/>
          <w:color w:val="111827"/>
          <w:sz w:val="22"/>
        </w:rPr>
        <w:t>Re-assess risk posture at Q1 2027 committee meeting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Sources</w:t>
      </w:r>
    </w:p>
    <w:p>
      <w:pPr>
        <w:spacing w:after="60"/>
      </w:pPr>
      <w:r>
        <w:rPr>
          <w:rFonts w:ascii="Calibri" w:hAnsi="Calibri"/>
          <w:b/>
          <w:color w:val="8B2E2B"/>
          <w:sz w:val="20"/>
        </w:rPr>
        <w:t xml:space="preserve">[1]  </w:t>
      </w:r>
      <w:r>
        <w:rPr>
          <w:rFonts w:ascii="Georgia" w:hAnsi="Georgia"/>
          <w:color w:val="111827"/>
          <w:sz w:val="20"/>
        </w:rPr>
        <w:t>q4_report.docx</w:t>
      </w:r>
    </w:p>
    <w:sectPr w:rsidR="00FC693F" w:rsidRPr="0006063C" w:rsidSect="00034616">
      <w:footerReference w:type="default" r:id="rId9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B5563"/>
        <w:sz w:val="16"/>
      </w:rPr>
      <w:t xml:space="preserve">  AKKI  ·  Audit Committee  ·  Internal 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11827"/>
      <w:sz w:val="22"/>
      <w:rFonts w:ascii="Georgia" w:hAnsi="Georgia" w:eastAsia="Georg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