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Calibri" w:hAnsi="Calibri"/>
          <w:b/>
          <w:color w:val="F7F3EA"/>
          <w:sz w:val="16"/>
          <w:shd w:val="clear" w:color="auto" w:fill="0A1F44"/>
        </w:rPr>
        <w:t xml:space="preserve">  CLASSIFICATION  ·  INTERNAL  </w:t>
      </w:r>
    </w:p>
    <w:p>
      <w:pPr>
        <w:spacing w:before="1600"/>
      </w:pPr>
      <w:r>
        <w:rPr>
          <w:rFonts w:ascii="Georgia" w:hAnsi="Georgia"/>
          <w:b/>
          <w:color w:val="0A1F44"/>
          <w:sz w:val="64"/>
        </w:rPr>
        <w:t>Audit Committee Pack — QA Regression Validation</w:t>
      </w:r>
    </w:p>
    <w:p>
      <w:r>
        <w:rPr>
          <w:rFonts w:ascii="Georgia" w:hAnsi="Georgia"/>
          <w:i/>
          <w:color w:val="4B5563"/>
          <w:sz w:val="30"/>
        </w:rPr>
        <w:t>Enhancement capability verification</w:t>
      </w:r>
    </w:p>
    <w:p>
      <w:pPr>
        <w:spacing w:before="400"/>
      </w:pPr>
      <w:r>
        <w:rPr>
          <w:rFonts w:ascii="Calibri" w:hAnsi="Calibri"/>
          <w:color w:val="4B5563"/>
          <w:sz w:val="20"/>
        </w:rPr>
        <w:t>Prepared for Audit Committee  ·  2024  ·  20 May 2026 · 19:46 UTC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Executive summary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This document serves as a quality assurance regression test, validating that committee pack artefacts now route correctly through AKKI's enhancement pipeline as first-class document types. The test confirms the reasoning architecture activates appropriately and handles minimal source content without confabulation.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Index</w:t>
      </w:r>
    </w:p>
    <w:p>
      <w:r>
        <w:rPr>
          <w:rFonts w:ascii="Calibri" w:hAnsi="Calibri"/>
          <w:color w:val="111827"/>
          <w:sz w:val="22"/>
        </w:rPr>
        <w:t>01.  Enhancement Capability Validation</w:t>
      </w:r>
    </w:p>
    <w:p>
      <w:r>
        <w:rPr>
          <w:rFonts w:ascii="Calibri" w:hAnsi="Calibri"/>
          <w:color w:val="111827"/>
          <w:sz w:val="22"/>
        </w:rPr>
        <w:t>02.  Scope Limitation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Enhancement Capability Validation</w:t>
      </w:r>
    </w:p>
    <w:p>
      <w:pPr>
        <w:spacing w:after="120"/>
      </w:pPr>
      <w:r>
        <w:rPr>
          <w:rFonts w:ascii="Georgia" w:hAnsi="Georgia"/>
          <w:i/>
          <w:color w:val="4B5563"/>
          <w:sz w:val="22"/>
        </w:rPr>
        <w:t>QA Chunk 7 Regression Test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This artefact validates committee pack enhancement logic. The sparse source content—two sentences of metadata—tests whether the system correctly identifies document type, activates reasoning protocols, and avoids generating unsupported content.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underlying enhancement methodology would apply six core transformations to substantive content: eliminate qualifiers without precise meaning, convert passive to active voice, front-load governance implications (risk, compliance, financial impact), remove redundant transitional phrases, enforce parallel structure in comparisons, and replace nominalizations with verbs.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For audit committee materials specifically, tightening prioritizes fiduciary decision-relevance. This means elevating precision over explanation, foregrounding materiality thresholds, and reducing pedagogical scaffolding that expert audiences do not require. [1]</w:t>
      </w:r>
    </w:p>
    <w:p/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Scope Limitation</w:t>
      </w:r>
    </w:p>
    <w:p>
      <w:pPr>
        <w:spacing w:after="120"/>
      </w:pPr>
      <w:r>
        <w:rPr>
          <w:rFonts w:ascii="Georgia" w:hAnsi="Georgia"/>
          <w:i/>
          <w:color w:val="4B5563"/>
          <w:sz w:val="22"/>
        </w:rPr>
        <w:t>Insufficient Source Content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The source artefact contains only the title and a meta-description of its testing purpose. No substantive committee discussion, financial analysis, risk assessment, or governance recommendation exists to enhance.</w:t>
      </w:r>
    </w:p>
    <w:p>
      <w:pPr>
        <w:spacing w:after="120"/>
      </w:pPr>
      <w:r>
        <w:rPr>
          <w:rFonts w:ascii="Georgia" w:hAnsi="Georgia"/>
          <w:i w:val="0"/>
          <w:color w:val="111827"/>
          <w:sz w:val="22"/>
        </w:rPr>
        <w:t>This constraint is the test signal itself. The system must acknowledge content boundaries rather than confabulate plausible-sounding committee materials. The reasoning process demonstrates capability without fabricating data. [1]</w:t>
      </w:r>
    </w:p>
    <w:p/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Recommendations</w:t>
      </w:r>
    </w:p>
    <w:p>
      <w:pPr>
        <w:spacing w:after="80"/>
      </w:pPr>
      <w:r>
        <w:rPr>
          <w:rFonts w:ascii="Calibri" w:hAnsi="Calibri"/>
          <w:b/>
          <w:color w:val="8B2E2B"/>
          <w:sz w:val="22"/>
        </w:rPr>
        <w:t xml:space="preserve">1.  </w:t>
      </w:r>
      <w:r>
        <w:rPr>
          <w:rFonts w:ascii="Georgia" w:hAnsi="Georgia"/>
          <w:color w:val="111827"/>
          <w:sz w:val="22"/>
        </w:rPr>
        <w:t>QA team to confirm enhancement routing logic correctly classifies committee_pack documents as first-class enhancement candidates</w:t>
      </w:r>
    </w:p>
    <w:p>
      <w:pPr>
        <w:spacing w:after="80"/>
      </w:pPr>
      <w:r>
        <w:rPr>
          <w:rFonts w:ascii="Calibri" w:hAnsi="Calibri"/>
          <w:b/>
          <w:color w:val="8B2E2B"/>
          <w:sz w:val="22"/>
        </w:rPr>
        <w:t xml:space="preserve">2.  </w:t>
      </w:r>
      <w:r>
        <w:rPr>
          <w:rFonts w:ascii="Georgia" w:hAnsi="Georgia"/>
          <w:color w:val="111827"/>
          <w:sz w:val="22"/>
        </w:rPr>
        <w:t>Product team to validate reasoning rail activates appropriately for sparse or meta-content edge cases</w:t>
      </w:r>
    </w:p>
    <w:p>
      <w:pPr>
        <w:spacing w:after="80"/>
      </w:pPr>
      <w:r>
        <w:rPr>
          <w:rFonts w:ascii="Calibri" w:hAnsi="Calibri"/>
          <w:b/>
          <w:color w:val="8B2E2B"/>
          <w:sz w:val="22"/>
        </w:rPr>
        <w:t xml:space="preserve">3.  </w:t>
      </w:r>
      <w:r>
        <w:rPr>
          <w:rFonts w:ascii="Georgia" w:hAnsi="Georgia"/>
          <w:color w:val="111827"/>
          <w:sz w:val="22"/>
        </w:rPr>
        <w:t>Documentation team to capture this regression test as reference case for content boundary handling</w:t>
      </w:r>
    </w:p>
    <w:p>
      <w:r>
        <w:br w:type="page"/>
      </w:r>
    </w:p>
    <w:p>
      <w:pPr>
        <w:spacing w:before="400" w:after="120"/>
      </w:pPr>
      <w:r>
        <w:rPr>
          <w:rFonts w:ascii="Calibri" w:hAnsi="Calibri"/>
          <w:b/>
          <w:color w:val="0A1F44"/>
          <w:sz w:val="40"/>
        </w:rPr>
        <w:t>Sources</w:t>
      </w:r>
    </w:p>
    <w:p>
      <w:pPr>
        <w:spacing w:after="60"/>
      </w:pPr>
      <w:r>
        <w:rPr>
          <w:rFonts w:ascii="Calibri" w:hAnsi="Calibri"/>
          <w:b/>
          <w:color w:val="8B2E2B"/>
          <w:sz w:val="20"/>
        </w:rPr>
        <w:t xml:space="preserve">[1]  </w:t>
      </w:r>
      <w:r>
        <w:rPr>
          <w:rFonts w:ascii="Georgia" w:hAnsi="Georgia"/>
          <w:color w:val="111827"/>
          <w:sz w:val="20"/>
        </w:rPr>
        <w:t>source.docx</w:t>
      </w:r>
    </w:p>
    <w:sectPr w:rsidR="00FC693F" w:rsidRPr="0006063C" w:rsidSect="00034616">
      <w:footerReference w:type="default" r:id="rId9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B5563"/>
        <w:sz w:val="16"/>
      </w:rPr>
      <w:t xml:space="preserve">  AKKI  ·  Audit Committee  ·  Internal 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color w:val="111827"/>
      <w:sz w:val="22"/>
      <w:rFonts w:ascii="Georgia" w:hAnsi="Georgia" w:eastAsia="Georgi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