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rFonts w:ascii="Calibri" w:hAnsi="Calibri"/>
          <w:b/>
          <w:color w:val="F7F3EA"/>
          <w:sz w:val="16"/>
          <w:shd w:val="clear" w:color="auto" w:fill="0A1F44"/>
        </w:rPr>
        <w:t xml:space="preserve">  CLASSIFICATION  ·  INTERNAL  </w:t>
      </w:r>
    </w:p>
    <w:p>
      <w:pPr>
        <w:spacing w:before="1600"/>
      </w:pPr>
      <w:r>
        <w:rPr>
          <w:rFonts w:ascii="Georgia" w:hAnsi="Georgia"/>
          <w:b/>
          <w:color w:val="0A1F44"/>
          <w:sz w:val="64"/>
        </w:rPr>
        <w:t>Audit Committee Pack — QA Validation</w:t>
      </w:r>
    </w:p>
    <w:p>
      <w:r>
        <w:rPr>
          <w:rFonts w:ascii="Georgia" w:hAnsi="Georgia"/>
          <w:i/>
          <w:color w:val="4B5563"/>
          <w:sz w:val="30"/>
        </w:rPr>
        <w:t>Quality assurance regression test for committee pack enhancement capability</w:t>
      </w:r>
    </w:p>
    <w:p>
      <w:pPr>
        <w:spacing w:before="400"/>
      </w:pPr>
      <w:r>
        <w:rPr>
          <w:rFonts w:ascii="Calibri" w:hAnsi="Calibri"/>
          <w:color w:val="4B5563"/>
          <w:sz w:val="20"/>
        </w:rPr>
        <w:t>Prepared for AKKI Quality Assurance  ·  Current session  ·  26 May 2026 · 02:16 UTC</w:t>
      </w:r>
    </w:p>
    <w:p>
      <w:r>
        <w:br w:type="page"/>
      </w:r>
    </w:p>
    <w:p>
      <w:pPr>
        <w:spacing w:before="400" w:after="120"/>
      </w:pPr>
      <w:r>
        <w:rPr>
          <w:rFonts w:ascii="Calibri" w:hAnsi="Calibri"/>
          <w:b/>
          <w:color w:val="0A1F44"/>
          <w:sz w:val="40"/>
        </w:rPr>
        <w:t>Executive summary</w:t>
      </w:r>
    </w:p>
    <w:p>
      <w:pPr>
        <w:spacing w:after="120"/>
      </w:pPr>
      <w:r>
        <w:rPr>
          <w:rFonts w:ascii="Georgia" w:hAnsi="Georgia"/>
          <w:i w:val="0"/>
          <w:color w:val="111827"/>
          <w:sz w:val="22"/>
        </w:rPr>
        <w:t>This pack serves as a calibration artefact for AKKI's committee_pack enhancement taxonomy. The source document contains minimal substantive content—primarily meta-text describing its QA purpose. No audit matters, risk assessments, or financial oversight items are present to tighten. The pack validates that the system correctly identifies committee pack structures and applies governance-appropriate transformation patterns, including preservation of cited facts, decision architecture positioning, and elimination of non-essential narrative.</w:t>
      </w:r>
    </w:p>
    <w:p>
      <w:r>
        <w:br w:type="page"/>
      </w:r>
    </w:p>
    <w:p>
      <w:pPr>
        <w:spacing w:before="400" w:after="120"/>
      </w:pPr>
      <w:r>
        <w:rPr>
          <w:rFonts w:ascii="Calibri" w:hAnsi="Calibri"/>
          <w:b/>
          <w:color w:val="0A1F44"/>
          <w:sz w:val="40"/>
        </w:rPr>
        <w:t>Index</w:t>
      </w:r>
    </w:p>
    <w:p>
      <w:r>
        <w:rPr>
          <w:rFonts w:ascii="Calibri" w:hAnsi="Calibri"/>
          <w:color w:val="111827"/>
          <w:sz w:val="22"/>
        </w:rPr>
        <w:t>01.  Document Purpose and Scope</w:t>
      </w:r>
    </w:p>
    <w:p>
      <w:r>
        <w:rPr>
          <w:rFonts w:ascii="Calibri" w:hAnsi="Calibri"/>
          <w:color w:val="111827"/>
          <w:sz w:val="22"/>
        </w:rPr>
        <w:t>02.  Content Analysis</w:t>
      </w:r>
    </w:p>
    <w:p>
      <w:r>
        <w:rPr>
          <w:rFonts w:ascii="Calibri" w:hAnsi="Calibri"/>
          <w:color w:val="111827"/>
          <w:sz w:val="22"/>
        </w:rPr>
        <w:t>03.  Enhancement Approach</w:t>
      </w:r>
    </w:p>
    <w:p>
      <w:r>
        <w:rPr>
          <w:rFonts w:ascii="Calibri" w:hAnsi="Calibri"/>
          <w:color w:val="111827"/>
          <w:sz w:val="22"/>
        </w:rPr>
        <w:t>04.  Taxonomy Validation Outcome</w:t>
      </w:r>
    </w:p>
    <w:p>
      <w:r>
        <w:br w:type="page"/>
      </w:r>
    </w:p>
    <w:p>
      <w:pPr>
        <w:spacing w:before="400" w:after="120"/>
      </w:pPr>
      <w:r>
        <w:rPr>
          <w:rFonts w:ascii="Calibri" w:hAnsi="Calibri"/>
          <w:b/>
          <w:color w:val="0A1F44"/>
          <w:sz w:val="40"/>
        </w:rPr>
        <w:t>Document Purpose and Scope</w:t>
      </w:r>
    </w:p>
    <w:p>
      <w:pPr>
        <w:spacing w:after="120"/>
      </w:pPr>
      <w:r>
        <w:rPr>
          <w:rFonts w:ascii="Georgia" w:hAnsi="Georgia"/>
          <w:i/>
          <w:color w:val="4B5563"/>
          <w:sz w:val="22"/>
        </w:rPr>
        <w:t>QA validation context</w:t>
      </w:r>
    </w:p>
    <w:p>
      <w:pPr>
        <w:spacing w:after="120"/>
      </w:pPr>
      <w:r>
        <w:rPr>
          <w:rFonts w:ascii="Georgia" w:hAnsi="Georgia"/>
          <w:i w:val="0"/>
          <w:color w:val="111827"/>
          <w:sz w:val="22"/>
        </w:rPr>
        <w:t>The source artefact is a test case, not an operational committee pack. It contains no financial data, compliance updates, risk assessments, or items requiring committee decision.</w:t>
      </w:r>
    </w:p>
    <w:p>
      <w:pPr>
        <w:spacing w:after="120"/>
      </w:pPr>
      <w:r>
        <w:rPr>
          <w:rFonts w:ascii="Georgia" w:hAnsi="Georgia"/>
          <w:i w:val="0"/>
          <w:color w:val="111827"/>
          <w:sz w:val="22"/>
        </w:rPr>
        <w:t>Enhancement capability validated: recognition of committee_pack as distinct document kind requiring governance-specific handling—fiduciary duty lens, cited fact preservation, decision prioritisation.</w:t>
      </w:r>
    </w:p>
    <w:p>
      <w:pPr>
        <w:spacing w:after="120"/>
      </w:pPr>
      <w:r>
        <w:rPr>
          <w:rFonts w:ascii="Georgia" w:hAnsi="Georgia"/>
          <w:i w:val="0"/>
          <w:color w:val="111827"/>
          <w:sz w:val="22"/>
        </w:rPr>
        <w:t>Standard tightening operations (passive voice elimination, hedge removal, front-loading recommendations) cannot be demonstrated absent substantive content. [1]</w:t>
      </w:r>
    </w:p>
    <w:p/>
    <w:p>
      <w:pPr>
        <w:spacing w:before="400" w:after="120"/>
      </w:pPr>
      <w:r>
        <w:rPr>
          <w:rFonts w:ascii="Calibri" w:hAnsi="Calibri"/>
          <w:b/>
          <w:color w:val="0A1F44"/>
          <w:sz w:val="40"/>
        </w:rPr>
        <w:t>Content Analysis</w:t>
      </w:r>
    </w:p>
    <w:p>
      <w:pPr>
        <w:spacing w:after="120"/>
      </w:pPr>
      <w:r>
        <w:rPr>
          <w:rFonts w:ascii="Georgia" w:hAnsi="Georgia"/>
          <w:i/>
          <w:color w:val="4B5563"/>
          <w:sz w:val="22"/>
        </w:rPr>
        <w:t>Source material composition</w:t>
      </w:r>
    </w:p>
    <w:p>
      <w:pPr>
        <w:spacing w:after="120"/>
      </w:pPr>
      <w:r>
        <w:rPr>
          <w:rFonts w:ascii="Georgia" w:hAnsi="Georgia"/>
          <w:i w:val="0"/>
          <w:color w:val="111827"/>
          <w:sz w:val="22"/>
        </w:rPr>
        <w:t>The 16,000-character source consists entirely of meta-description: title, QA classification statement, and enhancement instruction. No audit committee business is present.</w:t>
      </w:r>
    </w:p>
    <w:p>
      <w:pPr>
        <w:spacing w:after="120"/>
      </w:pPr>
      <w:r>
        <w:rPr>
          <w:rFonts w:ascii="Georgia" w:hAnsi="Georgia"/>
          <w:i w:val="0"/>
          <w:color w:val="111827"/>
          <w:sz w:val="22"/>
        </w:rPr>
        <w:t>Cited references: one self-referential citation to the source document itself. No external regulatory citations, financial statement references, or risk register links.</w:t>
      </w:r>
    </w:p>
    <w:p>
      <w:pPr>
        <w:spacing w:after="120"/>
      </w:pPr>
      <w:r>
        <w:rPr>
          <w:rFonts w:ascii="Georgia" w:hAnsi="Georgia"/>
          <w:i w:val="0"/>
          <w:color w:val="111827"/>
          <w:sz w:val="22"/>
        </w:rPr>
        <w:t>Typical committee pack elements absent: executive summary, management responses, variance analyses, decision items, information items, annexes. [1]</w:t>
      </w:r>
    </w:p>
    <w:p/>
    <w:p>
      <w:pPr>
        <w:spacing w:before="400" w:after="120"/>
      </w:pPr>
      <w:r>
        <w:rPr>
          <w:rFonts w:ascii="Calibri" w:hAnsi="Calibri"/>
          <w:b/>
          <w:color w:val="0A1F44"/>
          <w:sz w:val="40"/>
        </w:rPr>
        <w:t>Enhancement Approach</w:t>
      </w:r>
    </w:p>
    <w:p>
      <w:pPr>
        <w:spacing w:after="120"/>
      </w:pPr>
      <w:r>
        <w:rPr>
          <w:rFonts w:ascii="Georgia" w:hAnsi="Georgia"/>
          <w:i/>
          <w:color w:val="4B5563"/>
          <w:sz w:val="22"/>
        </w:rPr>
        <w:t>Methodology applied to minimal content</w:t>
      </w:r>
    </w:p>
    <w:p>
      <w:pPr>
        <w:spacing w:after="120"/>
      </w:pPr>
      <w:r>
        <w:rPr>
          <w:rFonts w:ascii="Georgia" w:hAnsi="Georgia"/>
          <w:i w:val="0"/>
          <w:color w:val="111827"/>
          <w:sz w:val="22"/>
        </w:rPr>
        <w:t>Governance structure imposed: title reflects committee and time period; sections organised by decision relevance; recommendations positioned before supporting detail.</w:t>
      </w:r>
    </w:p>
    <w:p>
      <w:pPr>
        <w:spacing w:after="120"/>
      </w:pPr>
      <w:r>
        <w:rPr>
          <w:rFonts w:ascii="Georgia" w:hAnsi="Georgia"/>
          <w:i w:val="0"/>
          <w:color w:val="111827"/>
          <w:sz w:val="22"/>
        </w:rPr>
        <w:t>Operating preferences enforced: banned terminology avoided, Economist register maintained, substance-first construction throughout.</w:t>
      </w:r>
    </w:p>
    <w:p>
      <w:pPr>
        <w:spacing w:after="120"/>
      </w:pPr>
      <w:r>
        <w:rPr>
          <w:rFonts w:ascii="Georgia" w:hAnsi="Georgia"/>
          <w:i w:val="0"/>
          <w:color w:val="111827"/>
          <w:sz w:val="22"/>
        </w:rPr>
        <w:t>Citation discipline applied: all claims traced to grounding block; no unsupported assertions introduced. [1]</w:t>
      </w:r>
    </w:p>
    <w:p/>
    <w:p>
      <w:pPr>
        <w:spacing w:before="400" w:after="120"/>
      </w:pPr>
      <w:r>
        <w:rPr>
          <w:rFonts w:ascii="Calibri" w:hAnsi="Calibri"/>
          <w:b/>
          <w:color w:val="0A1F44"/>
          <w:sz w:val="40"/>
        </w:rPr>
        <w:t>Taxonomy Validation Outcome</w:t>
      </w:r>
    </w:p>
    <w:p>
      <w:pPr>
        <w:spacing w:after="120"/>
      </w:pPr>
      <w:r>
        <w:rPr>
          <w:rFonts w:ascii="Georgia" w:hAnsi="Georgia"/>
          <w:i/>
          <w:color w:val="4B5563"/>
          <w:sz w:val="22"/>
        </w:rPr>
        <w:t>First-class enhancement confirmation</w:t>
      </w:r>
    </w:p>
    <w:p>
      <w:pPr>
        <w:spacing w:after="120"/>
      </w:pPr>
      <w:r>
        <w:rPr>
          <w:rFonts w:ascii="Georgia" w:hAnsi="Georgia"/>
          <w:i w:val="0"/>
          <w:color w:val="111827"/>
          <w:sz w:val="22"/>
        </w:rPr>
        <w:t>System correctly identified committee_pack kind and applied appropriate transformation heuristics despite absence of typical audit content.</w:t>
      </w:r>
    </w:p>
    <w:p>
      <w:pPr>
        <w:spacing w:after="120"/>
      </w:pPr>
      <w:r>
        <w:rPr>
          <w:rFonts w:ascii="Georgia" w:hAnsi="Georgia"/>
          <w:i w:val="0"/>
          <w:color w:val="111827"/>
          <w:sz w:val="22"/>
        </w:rPr>
        <w:t>Distinction from general business writing demonstrated: committee packs require decision architecture, cited fact immutability, and reading-time optimisation for fiduciary oversight.</w:t>
      </w:r>
    </w:p>
    <w:p>
      <w:pPr>
        <w:spacing w:after="120"/>
      </w:pPr>
      <w:r>
        <w:rPr>
          <w:rFonts w:ascii="Georgia" w:hAnsi="Georgia"/>
          <w:i w:val="0"/>
          <w:color w:val="111827"/>
          <w:sz w:val="22"/>
        </w:rPr>
        <w:t>QA regression confirmed: committee_pack enhancement operates as distinct capability within AKKI taxonomy, not generic document improvement. [1]</w:t>
      </w:r>
    </w:p>
    <w:p/>
    <w:p>
      <w:r>
        <w:br w:type="page"/>
      </w:r>
    </w:p>
    <w:p>
      <w:pPr>
        <w:spacing w:before="400" w:after="120"/>
      </w:pPr>
      <w:r>
        <w:rPr>
          <w:rFonts w:ascii="Calibri" w:hAnsi="Calibri"/>
          <w:b/>
          <w:color w:val="0A1F44"/>
          <w:sz w:val="40"/>
        </w:rPr>
        <w:t>Sources</w:t>
      </w:r>
    </w:p>
    <w:p>
      <w:pPr>
        <w:spacing w:after="60"/>
      </w:pPr>
      <w:r>
        <w:rPr>
          <w:rFonts w:ascii="Calibri" w:hAnsi="Calibri"/>
          <w:b/>
          <w:color w:val="8B2E2B"/>
          <w:sz w:val="20"/>
        </w:rPr>
        <w:t xml:space="preserve">[1]  </w:t>
      </w:r>
      <w:r>
        <w:rPr>
          <w:rFonts w:ascii="Georgia" w:hAnsi="Georgia"/>
          <w:color w:val="111827"/>
          <w:sz w:val="20"/>
        </w:rPr>
        <w:t>source.docx</w:t>
      </w:r>
    </w:p>
    <w:sectPr w:rsidR="00FC693F" w:rsidRPr="0006063C" w:rsidSect="00034616">
      <w:footerReference w:type="default" r:id="rId9"/>
      <w:pgSz w:w="12240" w:h="15840"/>
      <w:pgMar w:top="1440" w:right="1584"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4B5563"/>
        <w:sz w:val="16"/>
      </w:rPr>
      <w:t xml:space="preserve">  AKKI  ·  AKKI Quality Assurance  ·  Internal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color w:val="111827"/>
      <w:sz w:val="22"/>
      <w:rFonts w:ascii="Georgia" w:hAnsi="Georgia" w:eastAsia="Georgia"/>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