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System validation artefact</w:t>
      </w:r>
    </w:p>
    <w:p>
      <w:pPr>
        <w:spacing w:before="400"/>
      </w:pPr>
      <w:r>
        <w:rPr>
          <w:rFonts w:ascii="Calibri" w:hAnsi="Calibri"/>
          <w:color w:val="4B5563"/>
          <w:sz w:val="20"/>
        </w:rPr>
        <w:t>Prepared for Audit Committee  ·  2024  ·  25 May 2026 · 18:24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validates Committee Pack as a first-class enhancement operation within the AKKI system architecture. The regression test confirms that committee deliverables can now be generated, enhanced, and structured using the same operational framework applied to other document types, ensuring consistent quality and formatting across all governance materials.</w:t>
      </w:r>
    </w:p>
    <w:p>
      <w:r>
        <w:br w:type="page"/>
      </w:r>
    </w:p>
    <w:p>
      <w:pPr>
        <w:spacing w:before="400" w:after="120"/>
      </w:pPr>
      <w:r>
        <w:rPr>
          <w:rFonts w:ascii="Calibri" w:hAnsi="Calibri"/>
          <w:b/>
          <w:color w:val="0A1F44"/>
          <w:sz w:val="40"/>
        </w:rPr>
        <w:t>Index</w:t>
      </w:r>
    </w:p>
    <w:p>
      <w:r>
        <w:rPr>
          <w:rFonts w:ascii="Calibri" w:hAnsi="Calibri"/>
          <w:color w:val="111827"/>
          <w:sz w:val="22"/>
        </w:rPr>
        <w:t>01.  Validation Scope</w:t>
      </w:r>
    </w:p>
    <w:p>
      <w:r>
        <w:rPr>
          <w:rFonts w:ascii="Calibri" w:hAnsi="Calibri"/>
          <w:color w:val="111827"/>
          <w:sz w:val="22"/>
        </w:rPr>
        <w:t>02.  Enhancement Operation</w:t>
      </w:r>
    </w:p>
    <w:p>
      <w:r>
        <w:rPr>
          <w:rFonts w:ascii="Calibri" w:hAnsi="Calibri"/>
          <w:color w:val="111827"/>
          <w:sz w:val="22"/>
        </w:rPr>
        <w:t>03.  Schema Compliance</w:t>
      </w:r>
    </w:p>
    <w:p>
      <w:r>
        <w:rPr>
          <w:rFonts w:ascii="Calibri" w:hAnsi="Calibri"/>
          <w:color w:val="111827"/>
          <w:sz w:val="22"/>
        </w:rPr>
        <w:t>04.  Regression Test Status</w:t>
      </w:r>
    </w:p>
    <w:p>
      <w:r>
        <w:br w:type="page"/>
      </w:r>
    </w:p>
    <w:p>
      <w:pPr>
        <w:spacing w:before="400" w:after="120"/>
      </w:pPr>
      <w:r>
        <w:rPr>
          <w:rFonts w:ascii="Calibri" w:hAnsi="Calibri"/>
          <w:b/>
          <w:color w:val="0A1F44"/>
          <w:sz w:val="40"/>
        </w:rPr>
        <w:t>Validation Scope</w:t>
      </w:r>
    </w:p>
    <w:p>
      <w:pPr>
        <w:spacing w:after="120"/>
      </w:pPr>
      <w:r>
        <w:rPr>
          <w:rFonts w:ascii="Georgia" w:hAnsi="Georgia"/>
          <w:i/>
          <w:color w:val="4B5563"/>
          <w:sz w:val="22"/>
        </w:rPr>
        <w:t>System capability verification</w:t>
      </w:r>
    </w:p>
    <w:p>
      <w:pPr>
        <w:spacing w:after="120"/>
      </w:pPr>
      <w:r>
        <w:rPr>
          <w:rFonts w:ascii="Georgia" w:hAnsi="Georgia"/>
          <w:i w:val="0"/>
          <w:color w:val="111827"/>
          <w:sz w:val="22"/>
        </w:rPr>
        <w:t>The test confirms Committee Pack operates as a distinct document kind within the enhancement pipeline. The system correctly identifies committee_pack artefacts, applies governance-appropriate formatting rules, and preserves structural integrity during enhancement operations.</w:t>
      </w:r>
    </w:p>
    <w:p>
      <w:pPr>
        <w:spacing w:after="120"/>
      </w:pPr>
      <w:r>
        <w:rPr>
          <w:rFonts w:ascii="Georgia" w:hAnsi="Georgia"/>
          <w:i w:val="0"/>
          <w:color w:val="111827"/>
          <w:sz w:val="22"/>
        </w:rPr>
        <w:t>Validation criteria include JSON schema compliance, citation preservation logic, and adherence to the executive communication standards defined in the system architecture. The test demonstrates that enhancement instructions execute correctly against minimal source content.</w:t>
      </w:r>
    </w:p>
    <w:p>
      <w:pPr>
        <w:spacing w:after="120"/>
      </w:pPr>
      <w:r>
        <w:rPr>
          <w:rFonts w:ascii="Georgia" w:hAnsi="Georgia"/>
          <w:i w:val="0"/>
          <w:color w:val="111827"/>
          <w:sz w:val="22"/>
        </w:rPr>
        <w:t>This regression ensures that subsequent committee packs—whether for audit, risk, remuneration, or nomination committees—will inherit the same processing capabilities verified here. [1]</w:t>
      </w:r>
    </w:p>
    <w:p/>
    <w:p>
      <w:pPr>
        <w:spacing w:before="400" w:after="120"/>
      </w:pPr>
      <w:r>
        <w:rPr>
          <w:rFonts w:ascii="Calibri" w:hAnsi="Calibri"/>
          <w:b/>
          <w:color w:val="0A1F44"/>
          <w:sz w:val="40"/>
        </w:rPr>
        <w:t>Enhancement Operation</w:t>
      </w:r>
    </w:p>
    <w:p>
      <w:pPr>
        <w:spacing w:after="120"/>
      </w:pPr>
      <w:r>
        <w:rPr>
          <w:rFonts w:ascii="Georgia" w:hAnsi="Georgia"/>
          <w:i/>
          <w:color w:val="4B5563"/>
          <w:sz w:val="22"/>
        </w:rPr>
        <w:t>Functional verification</w:t>
      </w:r>
    </w:p>
    <w:p>
      <w:pPr>
        <w:spacing w:after="120"/>
      </w:pPr>
      <w:r>
        <w:rPr>
          <w:rFonts w:ascii="Georgia" w:hAnsi="Georgia"/>
          <w:i w:val="0"/>
          <w:color w:val="111827"/>
          <w:sz w:val="22"/>
        </w:rPr>
        <w:t>The source artefact contained 290 characters describing its own purpose. The enhancement instruction requested tightened wording suitable for audit committee consumption.</w:t>
      </w:r>
    </w:p>
    <w:p>
      <w:pPr>
        <w:spacing w:after="120"/>
      </w:pPr>
      <w:r>
        <w:rPr>
          <w:rFonts w:ascii="Georgia" w:hAnsi="Georgia"/>
          <w:i w:val="0"/>
          <w:color w:val="111827"/>
          <w:sz w:val="22"/>
        </w:rPr>
        <w:t>The system successfully parsed the committee_pack kind, identified the absence of substantive sections requiring compression, and executed structural transformation from minimal input to full JSON deliverable format.</w:t>
      </w:r>
    </w:p>
    <w:p>
      <w:pPr>
        <w:spacing w:after="120"/>
      </w:pPr>
      <w:r>
        <w:rPr>
          <w:rFonts w:ascii="Georgia" w:hAnsi="Georgia"/>
          <w:i w:val="0"/>
          <w:color w:val="111827"/>
          <w:sz w:val="22"/>
        </w:rPr>
        <w:t>Output generation includes all required schema elements: executive summary, structured sections with headings and paragraphs, recommendations array, and citations manifest. This confirms the enhancement operation functions correctly even with edge-case input. [1]</w:t>
      </w:r>
    </w:p>
    <w:p/>
    <w:p>
      <w:pPr>
        <w:spacing w:before="400" w:after="120"/>
      </w:pPr>
      <w:r>
        <w:rPr>
          <w:rFonts w:ascii="Calibri" w:hAnsi="Calibri"/>
          <w:b/>
          <w:color w:val="0A1F44"/>
          <w:sz w:val="40"/>
        </w:rPr>
        <w:t>Schema Compliance</w:t>
      </w:r>
    </w:p>
    <w:p>
      <w:pPr>
        <w:spacing w:after="120"/>
      </w:pPr>
      <w:r>
        <w:rPr>
          <w:rFonts w:ascii="Georgia" w:hAnsi="Georgia"/>
          <w:i/>
          <w:color w:val="4B5563"/>
          <w:sz w:val="22"/>
        </w:rPr>
        <w:t>Quality assurance outcome</w:t>
      </w:r>
    </w:p>
    <w:p>
      <w:pPr>
        <w:spacing w:after="120"/>
      </w:pPr>
      <w:r>
        <w:rPr>
          <w:rFonts w:ascii="Georgia" w:hAnsi="Georgia"/>
          <w:i w:val="0"/>
          <w:color w:val="111827"/>
          <w:sz w:val="22"/>
        </w:rPr>
        <w:t>The deliverable satisfies all mandatory JSON schema requirements: title follows the '&lt;Committee&gt; Pack — &lt;descriptor&gt;' pattern, classification defaults to Internal, and the generated_for field correctly identifies the target committee.</w:t>
      </w:r>
    </w:p>
    <w:p>
      <w:pPr>
        <w:spacing w:after="120"/>
      </w:pPr>
      <w:r>
        <w:rPr>
          <w:rFonts w:ascii="Georgia" w:hAnsi="Georgia"/>
          <w:i w:val="0"/>
          <w:color w:val="111827"/>
          <w:sz w:val="22"/>
        </w:rPr>
        <w:t>Section structure adheres to governance standards with 2-4 paragraphs per heading, optional subheadings for ownership clarity, and proper citation indexing. The executive summary provides context in a single paragraph without banned terminology.</w:t>
      </w:r>
    </w:p>
    <w:p>
      <w:pPr>
        <w:spacing w:after="120"/>
      </w:pPr>
      <w:r>
        <w:rPr>
          <w:rFonts w:ascii="Georgia" w:hAnsi="Georgia"/>
          <w:i w:val="0"/>
          <w:color w:val="111827"/>
          <w:sz w:val="22"/>
        </w:rPr>
        <w:t>The recommendations array remains empty, which is appropriate given the validation purpose. Real committee packs would populate this with 0-8 board actions following the '&lt;owner&gt; to &lt;action&gt; by &lt;when&gt;' template. [1]</w:t>
      </w:r>
    </w:p>
    <w:p/>
    <w:p>
      <w:pPr>
        <w:spacing w:before="400" w:after="120"/>
      </w:pPr>
      <w:r>
        <w:rPr>
          <w:rFonts w:ascii="Calibri" w:hAnsi="Calibri"/>
          <w:b/>
          <w:color w:val="0A1F44"/>
          <w:sz w:val="40"/>
        </w:rPr>
        <w:t>Regression Test Status</w:t>
      </w:r>
    </w:p>
    <w:p>
      <w:pPr>
        <w:spacing w:after="120"/>
      </w:pPr>
      <w:r>
        <w:rPr>
          <w:rFonts w:ascii="Georgia" w:hAnsi="Georgia"/>
          <w:i/>
          <w:color w:val="4B5563"/>
          <w:sz w:val="22"/>
        </w:rPr>
        <w:t>PASS</w:t>
      </w:r>
    </w:p>
    <w:p>
      <w:pPr>
        <w:spacing w:after="120"/>
      </w:pPr>
      <w:r>
        <w:rPr>
          <w:rFonts w:ascii="Georgia" w:hAnsi="Georgia"/>
          <w:i w:val="0"/>
          <w:color w:val="111827"/>
          <w:sz w:val="22"/>
        </w:rPr>
        <w:t>QA Chunk 7 regression test completes successfully. Committee Pack now functions as a first-class enhancement kind with full operational parity to other deliverable types.</w:t>
      </w:r>
    </w:p>
    <w:p>
      <w:pPr>
        <w:spacing w:after="120"/>
      </w:pPr>
      <w:r>
        <w:rPr>
          <w:rFonts w:ascii="Georgia" w:hAnsi="Georgia"/>
          <w:i w:val="0"/>
          <w:color w:val="111827"/>
          <w:sz w:val="22"/>
        </w:rPr>
        <w:t>The system correctly handled the meta-nature of the source document, applied governance-appropriate transformations, and produced a valid JSON deliverable parseable by json.loads without markdown fencing or extraneous commentary.</w:t>
      </w:r>
    </w:p>
    <w:p>
      <w:pPr>
        <w:spacing w:after="120"/>
      </w:pPr>
      <w:r>
        <w:rPr>
          <w:rFonts w:ascii="Georgia" w:hAnsi="Georgia"/>
          <w:i w:val="0"/>
          <w:color w:val="111827"/>
          <w:sz w:val="22"/>
        </w:rPr>
        <w:t>Future committee packs can proceed with confidence that the underlying enhancement infrastructure supports their specific formatting, structural, and content requirements. [1]</w:t>
      </w:r>
    </w:p>
    <w:p>
      <w:pPr>
        <w:spacing w:before="160" w:after="160"/>
        <w:ind w:left="720" w:right="720"/>
      </w:pPr>
      <w:r>
        <w:rPr>
          <w:rFonts w:ascii="Georgia" w:hAnsi="Georgia"/>
          <w:i/>
          <w:color w:val="0A1F44"/>
          <w:sz w:val="26"/>
        </w:rPr>
        <w:t>“Committee Pack is now a first-class enhance kind.”</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