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Q1 Risk Posture Summary for Audit Committee</w:t>
      </w:r>
    </w:p>
    <w:p>
      <w:pPr>
        <w:spacing w:after="80"/>
      </w:pPr>
      <w:r>
        <w:rPr>
          <w:rFonts w:ascii="Georgia" w:hAnsi="Georgia"/>
          <w:i/>
          <w:color w:val="4B5563"/>
          <w:sz w:val="28"/>
        </w:rPr>
        <w:t>Credit deterioration, control gaps, and treasury capability concerns</w:t>
      </w:r>
    </w:p>
    <w:p>
      <w:pPr>
        <w:spacing w:before="240"/>
      </w:pPr>
      <w:r>
        <w:rPr>
          <w:rFonts w:ascii="Calibri" w:hAnsi="Calibri"/>
          <w:color w:val="4B5563"/>
          <w:sz w:val="20"/>
        </w:rPr>
        <w:t>Prepared for Audit Committee  ·  Q1  ·  27 May 2026 · 20:06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quarter closed with credit quality deterioration requiring committee attention: non-performing loans rose from 3.2% to 6.0%, while loan-loss coverage fell from 74% to 44%. This occurred against 22% loan book growth concentrated in SME. Stage-2 loans increased from KSh8.4B to KSh14.9B, though the requested waterfall to Stage-3 migration remains outstanding. Capital adequacy stands at 15.4%—above CBK minimum but down 180 basis points from year-end. Control environment gaps emerged: no consolidated FX hedging summary across five operating countries, penetration testing nine months stale during dual-systems core-banking migration, and treasury attrition at 16.5% with no succession plan for Head of Treasury. Wholesale funding concentration reached 34% of liabilities. These factors collectively represent a shift in risk posture warranting committee oversight.</w:t>
      </w:r>
    </w:p>
    <w:p/>
    <w:p>
      <w:pPr>
        <w:spacing w:before="280" w:after="120"/>
      </w:pPr>
      <w:r>
        <w:rPr>
          <w:rFonts w:ascii="Calibri" w:hAnsi="Calibri"/>
          <w:b/>
          <w:color w:val="0A1F44"/>
          <w:sz w:val="28"/>
        </w:rPr>
        <w:t>Credit Quality Deterioration</w:t>
      </w:r>
    </w:p>
    <w:p>
      <w:pPr>
        <w:spacing w:after="120"/>
      </w:pPr>
      <w:r>
        <w:rPr>
          <w:rFonts w:ascii="Georgia" w:hAnsi="Georgia"/>
          <w:i w:val="0"/>
          <w:color w:val="111827"/>
          <w:sz w:val="22"/>
        </w:rPr>
        <w:t>Non-performing loans increased from 3.2% to 6.0% of the loan book, while loan-loss coverage fell from 74% to 44% over the same period. This movement occurred alongside 22% year-on-year loan growth concentrated in the SME segment, creating pressure on asset quality metrics.</w:t>
      </w:r>
    </w:p>
    <w:p>
      <w:pPr>
        <w:spacing w:after="120"/>
      </w:pPr>
      <w:r>
        <w:rPr>
          <w:rFonts w:ascii="Georgia" w:hAnsi="Georgia"/>
          <w:i w:val="0"/>
          <w:color w:val="111827"/>
          <w:sz w:val="22"/>
        </w:rPr>
        <w:t>Stage-2 loans rose from KSh8.4B to KSh14.9B, indicating growing stress in the performing book. The Risk Committee requested a waterfall analysis showing Stage-2 to Stage-3 migration for the next meeting, but this analysis was not available in the materials reviewed. The gap between reported profit and normalised provisions is widening despite headline net interest margin remaining strong at 7.8%.</w:t>
      </w:r>
    </w:p>
    <w:p>
      <w:pPr>
        <w:spacing w:after="120"/>
      </w:pPr>
      <w:r>
        <w:rPr>
          <w:rFonts w:ascii="Georgia" w:hAnsi="Georgia"/>
          <w:i w:val="0"/>
          <w:color w:val="111827"/>
          <w:sz w:val="22"/>
        </w:rPr>
        <w:t>Capital adequacy stands at 15.4%, above Central Bank of Kenya minimum requirements but down 180 basis points from year-end. Total assets reached KSh840B with deposits of KSh602B and net interest income up 11%. [2]</w:t>
      </w:r>
    </w:p>
    <w:p>
      <w:pPr>
        <w:spacing w:before="160" w:after="160"/>
        <w:ind w:left="720" w:right="720"/>
      </w:pPr>
      <w:r>
        <w:rPr>
          <w:rFonts w:ascii="Georgia" w:hAnsi="Georgia"/>
          <w:i/>
          <w:color w:val="0A1F44"/>
          <w:sz w:val="26"/>
        </w:rPr>
        <w:t>“The gap between reported profit and normalised provisions is widening despite headline net interest margin remaining strong at 7.8%.”</w:t>
      </w:r>
    </w:p>
    <w:p>
      <w:pPr>
        <w:spacing w:before="280" w:after="120"/>
      </w:pPr>
      <w:r>
        <w:rPr>
          <w:rFonts w:ascii="Calibri" w:hAnsi="Calibri"/>
          <w:b/>
          <w:color w:val="0A1F44"/>
          <w:sz w:val="28"/>
        </w:rPr>
        <w:t>Operational and Cyber Risk Exposure</w:t>
      </w:r>
    </w:p>
    <w:p>
      <w:pPr>
        <w:spacing w:after="120"/>
      </w:pPr>
      <w:r>
        <w:rPr>
          <w:rFonts w:ascii="Georgia" w:hAnsi="Georgia"/>
          <w:i w:val="0"/>
          <w:color w:val="111827"/>
          <w:sz w:val="22"/>
        </w:rPr>
        <w:t>The bank is running dual systems during core-banking migration, creating heightened operational risk. The last penetration test was completed nine months ago, leaving a significant gap in cyber risk assessment during a high-exposure period. Management committed to present a remediation update at the next Risk Committee meeting.</w:t>
      </w:r>
    </w:p>
    <w:p>
      <w:pPr>
        <w:spacing w:after="120"/>
      </w:pPr>
      <w:r>
        <w:rPr>
          <w:rFonts w:ascii="Georgia" w:hAnsi="Georgia"/>
          <w:i w:val="0"/>
          <w:color w:val="111827"/>
          <w:sz w:val="22"/>
        </w:rPr>
        <w:t>This control gap is material given the operational complexity of running parallel systems and the extended window since formal security testing. The stale penetration test timeline does not align with the elevated risk profile during migration. [1]</w:t>
      </w:r>
    </w:p>
    <w:p>
      <w:pPr>
        <w:spacing w:before="280" w:after="120"/>
      </w:pPr>
      <w:r>
        <w:rPr>
          <w:rFonts w:ascii="Calibri" w:hAnsi="Calibri"/>
          <w:b/>
          <w:color w:val="0A1F44"/>
          <w:sz w:val="28"/>
        </w:rPr>
        <w:t>Cross-Border and Treasury Risks</w:t>
      </w:r>
    </w:p>
    <w:p>
      <w:pPr>
        <w:spacing w:after="120"/>
      </w:pPr>
      <w:r>
        <w:rPr>
          <w:rFonts w:ascii="Georgia" w:hAnsi="Georgia"/>
          <w:i w:val="0"/>
          <w:color w:val="111827"/>
          <w:sz w:val="22"/>
        </w:rPr>
        <w:t>The bank operates across five countries, but no consolidated FX hedging summary was presented to the Risk Committee. This gap limits visibility into foreign exchange exposures at a time when loan growth may include cross-border or FX-denominated components. The Committee requested consolidated FX hedging reporting for the next meeting.</w:t>
      </w:r>
    </w:p>
    <w:p>
      <w:pPr>
        <w:spacing w:after="120"/>
      </w:pPr>
      <w:r>
        <w:rPr>
          <w:rFonts w:ascii="Georgia" w:hAnsi="Georgia"/>
          <w:i w:val="0"/>
          <w:color w:val="111827"/>
          <w:sz w:val="22"/>
        </w:rPr>
        <w:t>Treasury staff attrition reached 16.5% over twelve months, nearly double the 9.2% bank-wide rate. No internal successor has been identified for the Head of Treasury role—a concern flagged informally to the Nominations Committee. Market benchmarking shows compensation trailing peers by 18–22% at senior treasury level.</w:t>
      </w:r>
    </w:p>
    <w:p>
      <w:pPr>
        <w:spacing w:after="120"/>
      </w:pPr>
      <w:r>
        <w:rPr>
          <w:rFonts w:ascii="Georgia" w:hAnsi="Georgia"/>
          <w:i w:val="0"/>
          <w:color w:val="111827"/>
          <w:sz w:val="22"/>
        </w:rPr>
        <w:t>Wholesale funding now represents 34% of liabilities, up from 29% a year ago. Concentration in the top-20 depositor segment is the binding constraint on funding flexibility, creating structural vulnerability in a period of balance sheet growth. [1], [4]</w:t>
      </w:r>
    </w:p>
    <w:p>
      <w:pPr>
        <w:spacing w:before="280" w:after="120"/>
      </w:pPr>
      <w:r>
        <w:rPr>
          <w:rFonts w:ascii="Calibri" w:hAnsi="Calibri"/>
          <w:b/>
          <w:color w:val="0A1F44"/>
          <w:sz w:val="28"/>
        </w:rPr>
        <w:t>Data Reconciliation Note</w:t>
      </w:r>
    </w:p>
    <w:p>
      <w:pPr>
        <w:spacing w:after="120"/>
      </w:pPr>
      <w:r>
        <w:rPr>
          <w:rFonts w:ascii="Georgia" w:hAnsi="Georgia"/>
          <w:i w:val="0"/>
          <w:color w:val="111827"/>
          <w:sz w:val="22"/>
        </w:rPr>
        <w:t>A discrepancy exists between capital metrics reported to different committees. The audit committee briefing referenced a 12% lift in tier-1 capital ratios, while the board pack shows capital adequacy down 180 basis points from year-end. This variance requires clarification to ensure consistent capital reporting across governance forums. [3], [2]</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Risk Committee Minutes — Q4</w:t>
      </w:r>
    </w:p>
    <w:p>
      <w:pPr>
        <w:spacing w:after="60"/>
      </w:pPr>
      <w:r>
        <w:rPr>
          <w:rFonts w:ascii="Calibri" w:hAnsi="Calibri"/>
          <w:b/>
          <w:color w:val="8B2E2B"/>
          <w:sz w:val="20"/>
        </w:rPr>
        <w:t xml:space="preserve">[2]  </w:t>
      </w:r>
      <w:r>
        <w:rPr>
          <w:rFonts w:ascii="Georgia" w:hAnsi="Georgia"/>
          <w:color w:val="111827"/>
          <w:sz w:val="20"/>
        </w:rPr>
        <w:t>Board Pack Q4</w:t>
      </w:r>
    </w:p>
    <w:p>
      <w:pPr>
        <w:spacing w:after="60"/>
      </w:pPr>
      <w:r>
        <w:rPr>
          <w:rFonts w:ascii="Calibri" w:hAnsi="Calibri"/>
          <w:b/>
          <w:color w:val="8B2E2B"/>
          <w:sz w:val="20"/>
        </w:rPr>
        <w:t xml:space="preserve">[3]  </w:t>
      </w:r>
      <w:r>
        <w:rPr>
          <w:rFonts w:ascii="Georgia" w:hAnsi="Georgia"/>
          <w:color w:val="111827"/>
          <w:sz w:val="20"/>
        </w:rPr>
        <w:t>P0 curl test</w:t>
      </w:r>
    </w:p>
    <w:p>
      <w:pPr>
        <w:spacing w:after="60"/>
      </w:pPr>
      <w:r>
        <w:rPr>
          <w:rFonts w:ascii="Calibri" w:hAnsi="Calibri"/>
          <w:b/>
          <w:color w:val="8B2E2B"/>
          <w:sz w:val="20"/>
        </w:rPr>
        <w:t xml:space="preserve">[4]  </w:t>
      </w:r>
      <w:r>
        <w:rPr>
          <w:rFonts w:ascii="Georgia" w:hAnsi="Georgia"/>
          <w:color w:val="111827"/>
          <w:sz w:val="20"/>
        </w:rPr>
        <w:t>Management Commentary — Treasury</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