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Enhancement verification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25 May 2026 · 12:42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quality assurance verification artefact to confirm Committee Pack enhancement capabilities. No substantive audit content, findings, risk assessments, or recommendations are present in the source material provided.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Document Status</w:t>
      </w:r>
    </w:p>
    <w:p>
      <w:r>
        <w:rPr>
          <w:rFonts w:ascii="Calibri" w:hAnsi="Calibri"/>
          <w:color w:val="111827"/>
          <w:sz w:val="22"/>
        </w:rPr>
        <w:t>02.  Enhancement Scope</w:t>
      </w:r>
    </w:p>
    <w:p>
      <w:r>
        <w:rPr>
          <w:rFonts w:ascii="Calibri" w:hAnsi="Calibri"/>
          <w:color w:val="111827"/>
          <w:sz w:val="22"/>
        </w:rPr>
        <w:t>03.  Verification Objective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verification in progress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contains only metadata and a title statement.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audit committee content requiring editorial tightening is present in the provided text.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Scope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requests tightening wording for audit committee consumption.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Standard committee packs typically include sections on internal controls, risk registers, compliance monitoring, financial reporting oversight, and management responses to findings.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current source material does not contain these elements.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Verification Objective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First-class enhancement capability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tests whether Committee Pack documents can be processed as a first-class enhancement type.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QA regression context indicates this is a system capability verification exercise rather than a production editorial task.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— verify full source document ingestion before re-running enhancement by before next test cycle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System Administrator — confirm whether 16000-character truncation limit captured intended content by immediately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