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pPr>
      <w:r>
        <w:rPr>
          <w:rFonts w:ascii="Calibri" w:cs="Calibri" w:eastAsia="Calibri" w:hAnsi="Calibri"/>
          <w:b/>
          <w:bCs/>
          <w:color w:val="C25A38"/>
          <w:sz w:val="16"/>
          <w:szCs w:val="16"/>
        </w:rPr>
        <w:t xml:space="preserve">S A N D B O X   ·   S T R A T E G I C   D O C U M E N T S</w:t>
      </w:r>
    </w:p>
    <w:p>
      <w:pPr>
        <w:pBdr>
          <w:bottom w:val="single" w:color="C25A38" w:sz="6" w:space="10"/>
        </w:pBdr>
        <w:spacing w:after="360"/>
      </w:pPr>
      <w:r>
        <w:t xml:space="preserve"/>
      </w:r>
    </w:p>
    <w:p>
      <w:pPr>
        <w:spacing w:after="100"/>
      </w:pPr>
      <w:r>
        <w:rPr>
          <w:rFonts w:ascii="Georgia" w:cs="Georgia" w:eastAsia="Georgia" w:hAnsi="Georgia"/>
          <w:b/>
          <w:bCs/>
          <w:color w:val="2A1B1D"/>
          <w:sz w:val="56"/>
          <w:szCs w:val="56"/>
        </w:rPr>
        <w:t xml:space="preserve">Strategic Documents Pack</w:t>
      </w:r>
    </w:p>
    <w:p>
      <w:pPr>
        <w:spacing w:after="600"/>
      </w:pPr>
      <w:r>
        <w:rPr>
          <w:rFonts w:ascii="Georgia" w:cs="Georgia" w:eastAsia="Georgia" w:hAnsi="Georgia"/>
          <w:i/>
          <w:iCs/>
          <w:color w:val="2A1B1D"/>
          <w:sz w:val="24"/>
          <w:szCs w:val="24"/>
        </w:rPr>
        <w:t xml:space="preserve">Strategic-layer documents for the five Sandbox contexts. Companion to the Sandbox Content Pack.</w:t>
      </w:r>
    </w:p>
    <w:p>
      <w:pPr>
        <w:spacing w:after="280"/>
        <w:jc w:val="left"/>
      </w:pPr>
      <w:r>
        <w:rPr>
          <w:rFonts w:ascii="Calibri" w:cs="Calibri" w:eastAsia="Calibri" w:hAnsi="Calibri"/>
          <w:b w:val="false"/>
          <w:bCs w:val="false"/>
          <w:i w:val="false"/>
          <w:iCs w:val="false"/>
          <w:color w:val="5A4A4D"/>
          <w:sz w:val="22"/>
          <w:szCs w:val="22"/>
        </w:rPr>
        <w:t xml:space="preserve">This pack extends the Sandbox Content Pack with strategic-layer documents per context. The original pack covers tactical material — Q1 board papers, audit committee memos, risk register entries, Cabinet Memo materials — that exercise Akki's analytical capabilities at the operational cycle level. This pack adds the strategic layer above the tactical: the strategic plans, theories of change, and live strategic decisions that frame the operational work.</w:t>
      </w:r>
    </w:p>
    <w:p>
      <w:pPr>
        <w:spacing w:after="1200"/>
        <w:jc w:val="left"/>
      </w:pPr>
      <w:r>
        <w:rPr>
          <w:rFonts w:ascii="Calibri" w:cs="Calibri" w:eastAsia="Calibri" w:hAnsi="Calibri"/>
          <w:b w:val="false"/>
          <w:bCs w:val="false"/>
          <w:i w:val="false"/>
          <w:iCs w:val="false"/>
          <w:color w:val="5A4A4D"/>
          <w:sz w:val="22"/>
          <w:szCs w:val="22"/>
        </w:rPr>
        <w:t xml:space="preserve">Each context receives two or three strategic documents — calibrated to the strategic depth of that context. Bank, Healthcare, Logistics, and Government each get three documents; Technology gets two. Each document is substantive enough to support real Solva sessions on strategic questions while remaining inside the Sandbox time budget. Together with the original Sandbox Content Pack, this gives engineering the material to support both tactical and strategic Step 1 Solva sessions across all five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5EFE6" w:color="F5EFE6" w:val="solid"/>
          </w:tcPr>
          <w:p>
            <w:pPr>
              <w:spacing w:after="60" w:before="60"/>
            </w:pPr>
            <w:r>
              <w:rPr>
                <w:rFonts w:ascii="Calibri" w:cs="Calibri" w:eastAsia="Calibri" w:hAnsi="Calibri"/>
                <w:b/>
                <w:bCs/>
                <w:color w:val="2A1B1D"/>
                <w:sz w:val="20"/>
                <w:szCs w:val="20"/>
              </w:rPr>
              <w:t xml:space="preserve">Companion to</w:t>
            </w:r>
          </w:p>
        </w:tc>
        <w:tc>
          <w:tcPr>
            <w:tcW w:type="dxa" w:w="6560"/>
            <w:shd w:fill="F5EFE6" w:color="F5EFE6" w:val="solid"/>
          </w:tcPr>
          <w:p>
            <w:pPr>
              <w:spacing w:after="60" w:before="60"/>
            </w:pPr>
            <w:r>
              <w:rPr>
                <w:rFonts w:ascii="Calibri" w:cs="Calibri" w:eastAsia="Calibri" w:hAnsi="Calibri"/>
                <w:b w:val="false"/>
                <w:bCs w:val="false"/>
                <w:color w:val="2A1B1D"/>
                <w:sz w:val="20"/>
                <w:szCs w:val="20"/>
              </w:rPr>
              <w:t xml:space="preserve">Sandbox Content Pack (the tactical materials)</w:t>
            </w:r>
          </w:p>
        </w:tc>
      </w:tr>
      <w:tr>
        <w:tc>
          <w:tcPr>
            <w:tcW w:type="dxa" w:w="2800"/>
            <w:shd w:fill="FFFFFF" w:color="FFFFFF" w:val="solid"/>
          </w:tcPr>
          <w:p>
            <w:pPr>
              <w:spacing w:after="60" w:before="60"/>
            </w:pPr>
            <w:r>
              <w:rPr>
                <w:rFonts w:ascii="Calibri" w:cs="Calibri" w:eastAsia="Calibri" w:hAnsi="Calibri"/>
                <w:b/>
                <w:bCs/>
                <w:color w:val="2A1B1D"/>
                <w:sz w:val="20"/>
                <w:szCs w:val="20"/>
              </w:rPr>
              <w:t xml:space="preserve">Coverage</w:t>
            </w:r>
          </w:p>
        </w:tc>
        <w:tc>
          <w:tcPr>
            <w:tcW w:type="dxa" w:w="6560"/>
            <w:shd w:fill="FFFFFF" w:color="FFFFFF" w:val="solid"/>
          </w:tcPr>
          <w:p>
            <w:pPr>
              <w:spacing w:after="60" w:before="60"/>
            </w:pPr>
            <w:r>
              <w:rPr>
                <w:rFonts w:ascii="Calibri" w:cs="Calibri" w:eastAsia="Calibri" w:hAnsi="Calibri"/>
                <w:b w:val="false"/>
                <w:bCs w:val="false"/>
                <w:color w:val="2A1B1D"/>
                <w:sz w:val="20"/>
                <w:szCs w:val="20"/>
              </w:rPr>
              <w:t xml:space="preserve">5 contexts · 14 strategic documents total</w:t>
            </w:r>
          </w:p>
        </w:tc>
      </w:tr>
      <w:tr>
        <w:tc>
          <w:tcPr>
            <w:tcW w:type="dxa" w:w="2800"/>
            <w:shd w:fill="F5EFE6" w:color="F5EFE6" w:val="solid"/>
          </w:tcPr>
          <w:p>
            <w:pPr>
              <w:spacing w:after="60" w:before="60"/>
            </w:pPr>
            <w:r>
              <w:rPr>
                <w:rFonts w:ascii="Calibri" w:cs="Calibri" w:eastAsia="Calibri" w:hAnsi="Calibri"/>
                <w:b/>
                <w:bCs/>
                <w:color w:val="2A1B1D"/>
                <w:sz w:val="20"/>
                <w:szCs w:val="20"/>
              </w:rPr>
              <w:t xml:space="preserve">Per-context allocation</w:t>
            </w:r>
          </w:p>
        </w:tc>
        <w:tc>
          <w:tcPr>
            <w:tcW w:type="dxa" w:w="6560"/>
            <w:shd w:fill="F5EFE6" w:color="F5EFE6" w:val="solid"/>
          </w:tcPr>
          <w:p>
            <w:pPr>
              <w:spacing w:after="60" w:before="60"/>
            </w:pPr>
            <w:r>
              <w:rPr>
                <w:rFonts w:ascii="Calibri" w:cs="Calibri" w:eastAsia="Calibri" w:hAnsi="Calibri"/>
                <w:b w:val="false"/>
                <w:bCs w:val="false"/>
                <w:color w:val="2A1B1D"/>
                <w:sz w:val="20"/>
                <w:szCs w:val="20"/>
              </w:rPr>
              <w:t xml:space="preserve">Bank · Healthcare · Logistics · Government — 3 documents each. Technology — 2 documents</w:t>
            </w:r>
          </w:p>
        </w:tc>
      </w:tr>
      <w:tr>
        <w:tc>
          <w:tcPr>
            <w:tcW w:type="dxa" w:w="2800"/>
            <w:shd w:fill="FFFFFF" w:color="FFFFFF" w:val="solid"/>
          </w:tcPr>
          <w:p>
            <w:pPr>
              <w:spacing w:after="60" w:before="60"/>
            </w:pPr>
            <w:r>
              <w:rPr>
                <w:rFonts w:ascii="Calibri" w:cs="Calibri" w:eastAsia="Calibri" w:hAnsi="Calibri"/>
                <w:b/>
                <w:bCs/>
                <w:color w:val="2A1B1D"/>
                <w:sz w:val="20"/>
                <w:szCs w:val="20"/>
              </w:rPr>
              <w:t xml:space="preserve">Document length</w:t>
            </w:r>
          </w:p>
        </w:tc>
        <w:tc>
          <w:tcPr>
            <w:tcW w:type="dxa" w:w="6560"/>
            <w:shd w:fill="FFFFFF" w:color="FFFFFF" w:val="solid"/>
          </w:tcPr>
          <w:p>
            <w:pPr>
              <w:spacing w:after="60" w:before="60"/>
            </w:pPr>
            <w:r>
              <w:rPr>
                <w:rFonts w:ascii="Calibri" w:cs="Calibri" w:eastAsia="Calibri" w:hAnsi="Calibri"/>
                <w:b w:val="false"/>
                <w:bCs w:val="false"/>
                <w:color w:val="2A1B1D"/>
                <w:sz w:val="20"/>
                <w:szCs w:val="20"/>
              </w:rPr>
              <w:t xml:space="preserve">400-700 words each — substantive but Sandbox-time-budget appropriate</w:t>
            </w:r>
          </w:p>
        </w:tc>
      </w:tr>
      <w:tr>
        <w:tc>
          <w:tcPr>
            <w:tcW w:type="dxa" w:w="2800"/>
            <w:shd w:fill="F5EFE6" w:color="F5EFE6" w:val="solid"/>
          </w:tcPr>
          <w:p>
            <w:pPr>
              <w:spacing w:after="60" w:before="60"/>
            </w:pPr>
            <w:r>
              <w:rPr>
                <w:rFonts w:ascii="Calibri" w:cs="Calibri" w:eastAsia="Calibri" w:hAnsi="Calibri"/>
                <w:b/>
                <w:bCs/>
                <w:color w:val="2A1B1D"/>
                <w:sz w:val="20"/>
                <w:szCs w:val="20"/>
              </w:rPr>
              <w:t xml:space="preserve">Purpose</w:t>
            </w:r>
          </w:p>
        </w:tc>
        <w:tc>
          <w:tcPr>
            <w:tcW w:type="dxa" w:w="6560"/>
            <w:shd w:fill="F5EFE6" w:color="F5EFE6" w:val="solid"/>
          </w:tcPr>
          <w:p>
            <w:pPr>
              <w:spacing w:after="60" w:before="60"/>
            </w:pPr>
            <w:r>
              <w:rPr>
                <w:rFonts w:ascii="Calibri" w:cs="Calibri" w:eastAsia="Calibri" w:hAnsi="Calibri"/>
                <w:b w:val="false"/>
                <w:bCs w:val="false"/>
                <w:color w:val="2A1B1D"/>
                <w:sz w:val="20"/>
                <w:szCs w:val="20"/>
              </w:rPr>
              <w:t xml:space="preserve">Enable Step 1 Solva sessions on strategic-level questions in addition to tactical</w:t>
            </w:r>
          </w:p>
        </w:tc>
      </w:tr>
      <w:tr>
        <w:tc>
          <w:tcPr>
            <w:tcW w:type="dxa" w:w="2800"/>
            <w:shd w:fill="FFFFFF" w:color="FFFFFF" w:val="solid"/>
          </w:tcPr>
          <w:p>
            <w:pPr>
              <w:spacing w:after="60" w:before="60"/>
            </w:pPr>
            <w:r>
              <w:rPr>
                <w:rFonts w:ascii="Calibri" w:cs="Calibri" w:eastAsia="Calibri" w:hAnsi="Calibri"/>
                <w:b/>
                <w:bCs/>
                <w:color w:val="2A1B1D"/>
                <w:sz w:val="20"/>
                <w:szCs w:val="20"/>
              </w:rPr>
              <w:t xml:space="preserve">Status</w:t>
            </w:r>
          </w:p>
        </w:tc>
        <w:tc>
          <w:tcPr>
            <w:tcW w:type="dxa" w:w="6560"/>
            <w:shd w:fill="FFFFFF" w:color="FFFFFF" w:val="solid"/>
          </w:tcPr>
          <w:p>
            <w:pPr>
              <w:spacing w:after="60" w:before="60"/>
            </w:pPr>
            <w:r>
              <w:rPr>
                <w:rFonts w:ascii="Calibri" w:cs="Calibri" w:eastAsia="Calibri" w:hAnsi="Calibri"/>
                <w:b w:val="false"/>
                <w:bCs w:val="false"/>
                <w:color w:val="2A1B1D"/>
                <w:sz w:val="20"/>
                <w:szCs w:val="20"/>
              </w:rPr>
              <w:t xml:space="preserve">Production-ready — engineering ingestion alongside the original pack</w:t>
            </w:r>
          </w:p>
        </w:tc>
      </w:tr>
    </w:tbl>
    <w:p>
      <w:r>
        <w:br w:type="page"/>
      </w:r>
    </w:p>
    <w:p>
      <w:pPr>
        <w:spacing w:after="60"/>
      </w:pPr>
      <w:r>
        <w:rPr>
          <w:rFonts w:ascii="Calibri" w:cs="Calibri" w:eastAsia="Calibri" w:hAnsi="Calibri"/>
          <w:b/>
          <w:bCs/>
          <w:color w:val="C25A38"/>
          <w:spacing w:val="80"/>
          <w:sz w:val="16"/>
          <w:szCs w:val="16"/>
        </w:rPr>
        <w:t xml:space="preserve">HOW TO USE THIS PACK</w:t>
      </w:r>
    </w:p>
    <w:p>
      <w:pPr>
        <w:pStyle w:val="Heading1"/>
        <w:spacing w:after="220" w:before="440"/>
      </w:pPr>
      <w:r>
        <w:rPr>
          <w:rFonts w:ascii="Georgia" w:cs="Georgia" w:eastAsia="Georgia" w:hAnsi="Georgia"/>
          <w:b/>
          <w:bCs/>
          <w:color w:val="2A1B1D"/>
          <w:sz w:val="36"/>
          <w:szCs w:val="36"/>
        </w:rPr>
        <w:t xml:space="preserve">How to use this pack</w:t>
      </w:r>
    </w:p>
    <w:p>
      <w:pPr>
        <w:spacing w:after="200"/>
        <w:jc w:val="left"/>
      </w:pPr>
      <w:r>
        <w:rPr>
          <w:rFonts w:ascii="Calibri" w:cs="Calibri" w:eastAsia="Calibri" w:hAnsi="Calibri"/>
          <w:b w:val="false"/>
          <w:bCs w:val="false"/>
          <w:i w:val="false"/>
          <w:iCs w:val="false"/>
          <w:color w:val="2A1B1D"/>
          <w:sz w:val="22"/>
          <w:szCs w:val="22"/>
        </w:rPr>
        <w:t xml:space="preserve">Each context section in this document contains its strategic documents in sequence. Engineering should ingest the content into the same keyed content store as the Sandbox Content Pack — likely organisation_type → step → content_type → variant — with strategic documents added to the source_documents pool available to Step 1 Solva and to the strategic_baseline content used by Step 4 Cycle Manager.</w:t>
      </w:r>
    </w:p>
    <w:p>
      <w:pPr>
        <w:pStyle w:val="Heading2"/>
        <w:spacing w:after="160" w:before="300"/>
      </w:pPr>
      <w:r>
        <w:rPr>
          <w:rFonts w:ascii="Georgia" w:cs="Georgia" w:eastAsia="Georgia" w:hAnsi="Georgia"/>
          <w:b/>
          <w:bCs/>
          <w:color w:val="2A1B1D"/>
          <w:sz w:val="26"/>
          <w:szCs w:val="26"/>
        </w:rPr>
        <w:t xml:space="preserve">Inter-connection with existing pack</w:t>
      </w:r>
    </w:p>
    <w:p>
      <w:pPr>
        <w:pBdr>
          <w:top w:val="single" w:color="C25A38" w:sz="4" w:space="12"/>
          <w:bottom w:val="single" w:color="C25A38" w:sz="4" w:space="12"/>
        </w:pBdr>
        <w:shd w:fill="F5EFE6" w:color="F5EFE6" w:val="solid"/>
        <w:spacing w:after="200" w:before="160"/>
        <w:ind w:left="240" w:right="240"/>
      </w:pPr>
      <w:r>
        <w:rPr>
          <w:rFonts w:ascii="Georgia" w:cs="Georgia" w:eastAsia="Georgia" w:hAnsi="Georgia"/>
          <w:b/>
          <w:bCs/>
          <w:color w:val="2A1B1D"/>
          <w:sz w:val="22"/>
          <w:szCs w:val="22"/>
        </w:rPr>
        <w:t xml:space="preserve">Important — strategic documents reference tactical materials
</w:t>
      </w:r>
      <w:r>
        <w:rPr>
          <w:rFonts w:ascii="Calibri" w:cs="Calibri" w:eastAsia="Calibri" w:hAnsi="Calibri"/>
          <w:color w:val="5A4A4D"/>
          <w:sz w:val="21"/>
          <w:szCs w:val="21"/>
        </w:rPr>
        <w:t xml:space="preserve">Each strategic document below references the tactical materials from the original Sandbox Content Pack by name and content. The strategic plan extract for Mara Heritage Bank, for example, refers to the Q1 provisioning numbers in the Q1 Financial Performance Summary that's already in the pack. These connections are deliberate — they let users see how strategic intent relates to operational reality. Do not break these references during ingestion.</w:t>
      </w:r>
    </w:p>
    <w:p>
      <w:pPr>
        <w:pStyle w:val="Heading2"/>
        <w:spacing w:after="160" w:before="300"/>
      </w:pPr>
      <w:r>
        <w:rPr>
          <w:rFonts w:ascii="Georgia" w:cs="Georgia" w:eastAsia="Georgia" w:hAnsi="Georgia"/>
          <w:b/>
          <w:bCs/>
          <w:color w:val="2A1B1D"/>
          <w:sz w:val="26"/>
          <w:szCs w:val="26"/>
        </w:rPr>
        <w:t xml:space="preserve">Strategic-level Solva sessions</w:t>
      </w:r>
    </w:p>
    <w:p>
      <w:pPr>
        <w:spacing w:after="200"/>
        <w:jc w:val="left"/>
      </w:pPr>
      <w:r>
        <w:rPr>
          <w:rFonts w:ascii="Calibri" w:cs="Calibri" w:eastAsia="Calibri" w:hAnsi="Calibri"/>
          <w:b w:val="false"/>
          <w:bCs w:val="false"/>
          <w:i w:val="false"/>
          <w:iCs w:val="false"/>
          <w:color w:val="2A1B1D"/>
          <w:sz w:val="22"/>
          <w:szCs w:val="22"/>
        </w:rPr>
        <w:t xml:space="preserve">With the strategic documents available, Step 1 Solva can now run on strategic questions in addition to tactical ones. A user choosing Develop Strategy who attaches a strategic plan extract gets a Solva session that operates at strategic time horizons (3-5 years) rather than operational ones (cycle-by-cycle). The Solva architecture is the same; the candidate set generation will produce different framings calibrated to strategic time horizons.</w:t>
      </w:r>
    </w:p>
    <w:p>
      <w:pPr>
        <w:pStyle w:val="Heading2"/>
        <w:spacing w:after="160" w:before="300"/>
      </w:pPr>
      <w:r>
        <w:rPr>
          <w:rFonts w:ascii="Georgia" w:cs="Georgia" w:eastAsia="Georgia" w:hAnsi="Georgia"/>
          <w:b/>
          <w:bCs/>
          <w:color w:val="2A1B1D"/>
          <w:sz w:val="26"/>
          <w:szCs w:val="26"/>
        </w:rPr>
        <w:t xml:space="preserve">How Cycle Manager uses these</w:t>
      </w:r>
    </w:p>
    <w:p>
      <w:pPr>
        <w:spacing w:after="200"/>
        <w:jc w:val="left"/>
      </w:pPr>
      <w:r>
        <w:rPr>
          <w:rFonts w:ascii="Calibri" w:cs="Calibri" w:eastAsia="Calibri" w:hAnsi="Calibri"/>
          <w:b w:val="false"/>
          <w:bCs w:val="false"/>
          <w:i w:val="false"/>
          <w:iCs w:val="false"/>
          <w:color w:val="2A1B1D"/>
          <w:sz w:val="22"/>
          <w:szCs w:val="22"/>
        </w:rPr>
        <w:t xml:space="preserve">The Step 4 Cycle Manager snapshot benefits from the strategic plan documents because the strategic baseline section becomes substantively richer. Where the original Sandbox pack listed strategic targets in bullets ("Loan book growth target: 12-15% CAGR"), the strategic plan documents provide the *reasoning* behind those targets — making the Cycle Manager view feel like institutional memory rather than a dashboard.</w:t>
      </w:r>
    </w:p>
    <w:p>
      <w:pPr>
        <w:spacing w:after="280"/>
      </w:pPr>
      <w:r>
        <w:t xml:space="preserve"/>
      </w:r>
    </w:p>
    <w:p>
      <w:r>
        <w:br w:type="page"/>
      </w:r>
    </w:p>
    <w:p>
      <w:pPr>
        <w:spacing w:after="60"/>
      </w:pPr>
      <w:r>
        <w:rPr>
          <w:rFonts w:ascii="Calibri" w:cs="Calibri" w:eastAsia="Calibri" w:hAnsi="Calibri"/>
          <w:b/>
          <w:bCs/>
          <w:color w:val="C25A38"/>
          <w:spacing w:val="80"/>
          <w:sz w:val="16"/>
          <w:szCs w:val="16"/>
        </w:rPr>
        <w:t xml:space="preserve">BANK · STRATEGIC DOCUMENTS</w:t>
      </w:r>
    </w:p>
    <w:p>
      <w:pPr>
        <w:pStyle w:val="Heading1"/>
        <w:spacing w:after="220" w:before="440"/>
      </w:pPr>
      <w:r>
        <w:rPr>
          <w:rFonts w:ascii="Georgia" w:cs="Georgia" w:eastAsia="Georgia" w:hAnsi="Georgia"/>
          <w:b/>
          <w:bCs/>
          <w:color w:val="2A1B1D"/>
          <w:sz w:val="36"/>
          <w:szCs w:val="36"/>
        </w:rPr>
        <w:t xml:space="preserve">Mara Heritage Bank — Strategic Documents</w:t>
      </w:r>
    </w:p>
    <w:p>
      <w:pPr>
        <w:spacing w:after="200"/>
        <w:jc w:val="left"/>
      </w:pPr>
      <w:r>
        <w:rPr>
          <w:rFonts w:ascii="Calibri" w:cs="Calibri" w:eastAsia="Calibri" w:hAnsi="Calibri"/>
          <w:b w:val="false"/>
          <w:bCs w:val="false"/>
          <w:i w:val="false"/>
          <w:iCs w:val="false"/>
          <w:color w:val="2A1B1D"/>
          <w:sz w:val="22"/>
          <w:szCs w:val="22"/>
        </w:rPr>
        <w:t xml:space="preserve">Three strategic documents covering the bank's overall strategic direction, capital allocation framework, and digital transformation strategy. Together they establish the strategic context against which the tactical materials in the original pack should be read.</w:t>
      </w:r>
    </w:p>
    <w:p>
      <w:pPr>
        <w:spacing w:after="280"/>
      </w:pPr>
      <w:r>
        <w:t xml:space="preserv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Five-Year Strategic Plan 2024-2028 — Executive Summary</w:t>
      </w:r>
    </w:p>
    <w:p>
      <w:pPr>
        <w:spacing w:after="160"/>
      </w:pPr>
      <w:r>
        <w:rPr>
          <w:rFonts w:ascii="Calibri" w:cs="Calibri" w:eastAsia="Calibri" w:hAnsi="Calibri"/>
          <w:i/>
          <w:iCs/>
          <w:color w:val="6B6B6B"/>
          <w:sz w:val="18"/>
          <w:szCs w:val="18"/>
        </w:rPr>
        <w:t xml:space="preserve">Mara Heritage Bank Limited · Approved by Board 28 March 2024 · Reviewed annually ·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Strategic context</w:t>
      </w:r>
    </w:p>
    <w:p>
      <w:pPr>
        <w:spacing w:after="200"/>
        <w:jc w:val="left"/>
      </w:pPr>
      <w:r>
        <w:rPr>
          <w:rFonts w:ascii="Calibri" w:cs="Calibri" w:eastAsia="Calibri" w:hAnsi="Calibri"/>
          <w:b w:val="false"/>
          <w:bCs w:val="false"/>
          <w:i w:val="false"/>
          <w:iCs w:val="false"/>
          <w:color w:val="2A1B1D"/>
          <w:sz w:val="22"/>
          <w:szCs w:val="22"/>
        </w:rPr>
        <w:t xml:space="preserve">Mara Heritage Bank enters its 2024-2028 strategic period at an inflection. The bank's traditional strength — corporate banking relationships across the upcountry network — has produced consistent ROE in the 14-16% range over the last cycle, but at a structural cost: limited fee income diversification, growing dependence on a real estate-correlated corporate book, and a digital channel that has lagged peers. The strategic question for this cycle is not whether to evolve, but how — and at what pace.</w:t>
      </w:r>
    </w:p>
    <w:p>
      <w:pPr>
        <w:spacing w:after="200"/>
        <w:jc w:val="left"/>
      </w:pPr>
      <w:r>
        <w:rPr>
          <w:rFonts w:ascii="Calibri" w:cs="Calibri" w:eastAsia="Calibri" w:hAnsi="Calibri"/>
          <w:b w:val="false"/>
          <w:bCs w:val="false"/>
          <w:i w:val="false"/>
          <w:iCs w:val="false"/>
          <w:color w:val="2A1B1D"/>
          <w:sz w:val="22"/>
          <w:szCs w:val="22"/>
        </w:rPr>
        <w:t xml:space="preserve">The Board has reviewed three strategic options. Option A: deepen the existing corporate franchise with selective SME expansion, accept structural sector concentration, optimise cost-to-income within the current model. Option B: pursue digital transformation aggressively, accepting near-term return compression to build a structurally different revenue mix by 2028. Option C: a balanced path that preserves corporate banking strength while building digital capability incrementally, with milestones that allow course correction.</w:t>
      </w:r>
    </w:p>
    <w:p>
      <w:pPr>
        <w:pStyle w:val="Heading3"/>
        <w:spacing w:after="120" w:before="220"/>
      </w:pPr>
      <w:r>
        <w:rPr>
          <w:rFonts w:ascii="Calibri" w:cs="Calibri" w:eastAsia="Calibri" w:hAnsi="Calibri"/>
          <w:b/>
          <w:bCs/>
          <w:color w:val="2A1B1D"/>
          <w:sz w:val="22"/>
          <w:szCs w:val="22"/>
        </w:rPr>
        <w:t xml:space="preserve">Strategic choice</w:t>
      </w:r>
    </w:p>
    <w:p>
      <w:pPr>
        <w:spacing w:after="200"/>
        <w:jc w:val="left"/>
      </w:pPr>
      <w:r>
        <w:rPr>
          <w:rFonts w:ascii="Calibri" w:cs="Calibri" w:eastAsia="Calibri" w:hAnsi="Calibri"/>
          <w:b w:val="false"/>
          <w:bCs w:val="false"/>
          <w:i w:val="false"/>
          <w:iCs w:val="false"/>
          <w:color w:val="2A1B1D"/>
          <w:sz w:val="22"/>
          <w:szCs w:val="22"/>
        </w:rPr>
        <w:t xml:space="preserve">The Board has endorsed Option C. The rationale rests on three judgements. First, the bank's corporate franchise is genuinely valuable and not easily reproduced — destroying it to fund digital ambition would be a strategic error. Second, the digital channel investment is non-discretionary; the question is pace, not whether. Third, the balance sheet capacity for Option B-level investment without external capital is constrained by the existing concentration profile.</w:t>
      </w:r>
    </w:p>
    <w:p>
      <w:pPr>
        <w:pStyle w:val="Heading3"/>
        <w:spacing w:after="120" w:before="220"/>
      </w:pPr>
      <w:r>
        <w:rPr>
          <w:rFonts w:ascii="Calibri" w:cs="Calibri" w:eastAsia="Calibri" w:hAnsi="Calibri"/>
          <w:b/>
          <w:bCs/>
          <w:color w:val="2A1B1D"/>
          <w:sz w:val="22"/>
          <w:szCs w:val="22"/>
        </w:rPr>
        <w:t xml:space="preserve">Strategic targets</w:t>
      </w:r>
    </w:p>
    <w:p>
      <w:pPr>
        <w:spacing w:after="200"/>
        <w:jc w:val="left"/>
      </w:pPr>
      <w:r>
        <w:rPr>
          <w:rFonts w:ascii="Calibri" w:cs="Calibri" w:eastAsia="Calibri" w:hAnsi="Calibri"/>
          <w:b w:val="false"/>
          <w:bCs w:val="false"/>
          <w:i w:val="false"/>
          <w:iCs w:val="false"/>
          <w:color w:val="2A1B1D"/>
          <w:sz w:val="22"/>
          <w:szCs w:val="22"/>
        </w:rPr>
        <w:t xml:space="preserve">Over the 2024-2028 horizon: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Loan book growth: 12-15% CAGR — diversifying away from real estate concentration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Digital revenue contribution: 18% of total revenue by FY 2028 (currently 9%)</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Cost-to-income ratio: 48% by FY 2027 (currently 53%)</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ROE: 18% sustained from FY 2026 — accepting compression in FY 2024-2025 transition years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CET1 ratio: maintain above 14% throughout, with explicit headroom for opportunistic acquisitions</w:t>
      </w:r>
    </w:p>
    <w:p>
      <w:pPr>
        <w:pStyle w:val="Heading3"/>
        <w:spacing w:after="120" w:before="220"/>
      </w:pPr>
      <w:r>
        <w:rPr>
          <w:rFonts w:ascii="Calibri" w:cs="Calibri" w:eastAsia="Calibri" w:hAnsi="Calibri"/>
          <w:b/>
          <w:bCs/>
          <w:color w:val="2A1B1D"/>
          <w:sz w:val="22"/>
          <w:szCs w:val="22"/>
        </w:rPr>
        <w:t xml:space="preserve">Strategic risks named</w:t>
      </w:r>
    </w:p>
    <w:p>
      <w:pPr>
        <w:spacing w:after="200"/>
        <w:jc w:val="left"/>
      </w:pPr>
      <w:r>
        <w:rPr>
          <w:rFonts w:ascii="Calibri" w:cs="Calibri" w:eastAsia="Calibri" w:hAnsi="Calibri"/>
          <w:b w:val="false"/>
          <w:bCs w:val="false"/>
          <w:i w:val="false"/>
          <w:iCs w:val="false"/>
          <w:color w:val="2A1B1D"/>
          <w:sz w:val="22"/>
          <w:szCs w:val="22"/>
        </w:rPr>
        <w:t xml:space="preserve">The Board has explicitly named the risks the strategy carries. Real estate concentration drift remains the most material structural risk; the strategy assumes active management of the concentration trajectory rather than passive growth. Digital lending risk is the second material risk — unproven cohort dynamics could produce credit losses that compromise the digital revenue thesis. The third risk is execution capacity: the strategy assumes management bandwidth that may be tested in periods of sectoral stress.</w:t>
      </w:r>
    </w:p>
    <w:p>
      <w:pPr>
        <w:pStyle w:val="Heading3"/>
        <w:spacing w:after="120" w:before="220"/>
      </w:pPr>
      <w:r>
        <w:rPr>
          <w:rFonts w:ascii="Calibri" w:cs="Calibri" w:eastAsia="Calibri" w:hAnsi="Calibri"/>
          <w:b/>
          <w:bCs/>
          <w:color w:val="2A1B1D"/>
          <w:sz w:val="22"/>
          <w:szCs w:val="22"/>
        </w:rPr>
        <w:t xml:space="preserve">Review cadence</w:t>
      </w:r>
    </w:p>
    <w:p>
      <w:pPr>
        <w:spacing w:after="200"/>
        <w:jc w:val="left"/>
      </w:pPr>
      <w:r>
        <w:rPr>
          <w:rFonts w:ascii="Calibri" w:cs="Calibri" w:eastAsia="Calibri" w:hAnsi="Calibri"/>
          <w:b w:val="false"/>
          <w:bCs w:val="false"/>
          <w:i w:val="false"/>
          <w:iCs w:val="false"/>
          <w:color w:val="2A1B1D"/>
          <w:sz w:val="22"/>
          <w:szCs w:val="22"/>
        </w:rPr>
        <w:t xml:space="preserve">This plan is reviewed annually. Material divergence from targets — defined as more than 200 basis points off path on any of the five targets — triggers a board-level strategic review session outside the annual cycle. The Q1 2026 results show provisioning compression to 68% (from 74% baseline) and real estate concentration at 31.2% (against the 25% internal guideline). The Risk Committee has been asked to assess whether these constitute material divergence.</w:t>
      </w:r>
    </w:p>
    <w:p>
      <w:pPr>
        <w:spacing w:after="280"/>
      </w:pPr>
      <w:r>
        <w:t xml:space="preserve"/>
      </w:r>
    </w:p>
    <w:p>
      <w:r>
        <w:br w:type="pag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Strategic Capital Allocation Framework</w:t>
      </w:r>
    </w:p>
    <w:p>
      <w:pPr>
        <w:spacing w:after="160"/>
      </w:pPr>
      <w:r>
        <w:rPr>
          <w:rFonts w:ascii="Calibri" w:cs="Calibri" w:eastAsia="Calibri" w:hAnsi="Calibri"/>
          <w:i/>
          <w:iCs/>
          <w:color w:val="6B6B6B"/>
          <w:sz w:val="18"/>
          <w:szCs w:val="18"/>
        </w:rPr>
        <w:t xml:space="preserve">Mara Heritage Bank · Risk and Strategy · Q4 2025 · For Board Strategy Day ·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Purpose</w:t>
      </w:r>
    </w:p>
    <w:p>
      <w:pPr>
        <w:spacing w:after="200"/>
        <w:jc w:val="left"/>
      </w:pPr>
      <w:r>
        <w:rPr>
          <w:rFonts w:ascii="Calibri" w:cs="Calibri" w:eastAsia="Calibri" w:hAnsi="Calibri"/>
          <w:b w:val="false"/>
          <w:bCs w:val="false"/>
          <w:i w:val="false"/>
          <w:iCs w:val="false"/>
          <w:color w:val="2A1B1D"/>
          <w:sz w:val="22"/>
          <w:szCs w:val="22"/>
        </w:rPr>
        <w:t xml:space="preserve">This paper sets out the framework for capital allocation across the bank's business lines for the FY26-28 horizon. It is intended to inform the Board Strategy Day discussion in November 2025 and to provide the framework against which subsequent quarterly capital decisions will be measured.</w:t>
      </w:r>
    </w:p>
    <w:p>
      <w:pPr>
        <w:pStyle w:val="Heading3"/>
        <w:spacing w:after="120" w:before="220"/>
      </w:pPr>
      <w:r>
        <w:rPr>
          <w:rFonts w:ascii="Calibri" w:cs="Calibri" w:eastAsia="Calibri" w:hAnsi="Calibri"/>
          <w:b/>
          <w:bCs/>
          <w:color w:val="2A1B1D"/>
          <w:sz w:val="22"/>
          <w:szCs w:val="22"/>
        </w:rPr>
        <w:t xml:space="preserve">Current capital position</w:t>
      </w:r>
    </w:p>
    <w:p>
      <w:pPr>
        <w:spacing w:after="200"/>
        <w:jc w:val="left"/>
      </w:pPr>
      <w:r>
        <w:rPr>
          <w:rFonts w:ascii="Calibri" w:cs="Calibri" w:eastAsia="Calibri" w:hAnsi="Calibri"/>
          <w:b w:val="false"/>
          <w:bCs w:val="false"/>
          <w:i w:val="false"/>
          <w:iCs w:val="false"/>
          <w:color w:val="2A1B1D"/>
          <w:sz w:val="22"/>
          <w:szCs w:val="22"/>
        </w:rPr>
        <w:t xml:space="preserve">The bank's CET1 ratio at end-Q3 2025 stood at 16.4%, providing approximately 2.4 percentage points of headroom against the internal floor of 14%. Total capital ratio of 19.1% sits comfortably above the 17% regulatory minimum plus capital conservation buffer. The headroom has been preserved despite a 4.2 percentage point rise in real estate concentration over the cycle, because risk-weighted assets have grown more slowly than the loan book due to mix shift.</w:t>
      </w:r>
    </w:p>
    <w:p>
      <w:pPr>
        <w:pStyle w:val="Heading3"/>
        <w:spacing w:after="120" w:before="220"/>
      </w:pPr>
      <w:r>
        <w:rPr>
          <w:rFonts w:ascii="Calibri" w:cs="Calibri" w:eastAsia="Calibri" w:hAnsi="Calibri"/>
          <w:b/>
          <w:bCs/>
          <w:color w:val="2A1B1D"/>
          <w:sz w:val="22"/>
          <w:szCs w:val="22"/>
        </w:rPr>
        <w:t xml:space="preserve">Strategic capital allocation principles</w:t>
      </w:r>
    </w:p>
    <w:p>
      <w:pPr>
        <w:spacing w:after="200"/>
        <w:jc w:val="left"/>
      </w:pPr>
      <w:r>
        <w:rPr>
          <w:rFonts w:ascii="Calibri" w:cs="Calibri" w:eastAsia="Calibri" w:hAnsi="Calibri"/>
          <w:b w:val="false"/>
          <w:bCs w:val="false"/>
          <w:i w:val="false"/>
          <w:iCs w:val="false"/>
          <w:color w:val="2A1B1D"/>
          <w:sz w:val="22"/>
          <w:szCs w:val="22"/>
        </w:rPr>
        <w:t xml:space="preserve">Three principles govern capital deployment over the FY26-28 horizon:</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Capital follows strategic priority, not historical share. Business lines that contribute to the FY28 strategic targets — diversified growth, digital revenue contribution, fee income — receive priority capital allocation regardless of historical earnings contribution.</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Concentration risk is priced explicitly. The internal capital model loads incremental real estate exposure at 1.4× the standard sector weight. New corporate facilities in real estate must clear hurdle rates that reflect the loaded weight.</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Reserve for opportunistic deployment. The framework reserves 100-150 basis points of CET1 headroom for opportunistic capital deployment — strategic acquisitions, market dislocation opportunities, or counter-cyclical book growth.</w:t>
      </w:r>
    </w:p>
    <w:p>
      <w:pPr>
        <w:pStyle w:val="Heading3"/>
        <w:spacing w:after="120" w:before="220"/>
      </w:pPr>
      <w:r>
        <w:rPr>
          <w:rFonts w:ascii="Calibri" w:cs="Calibri" w:eastAsia="Calibri" w:hAnsi="Calibri"/>
          <w:b/>
          <w:bCs/>
          <w:color w:val="2A1B1D"/>
          <w:sz w:val="22"/>
          <w:szCs w:val="22"/>
        </w:rPr>
        <w:t xml:space="preserve">Allocations by business line</w:t>
      </w:r>
    </w:p>
    <w:p>
      <w:pPr>
        <w:spacing w:after="200"/>
        <w:jc w:val="left"/>
      </w:pPr>
      <w:r>
        <w:rPr>
          <w:rFonts w:ascii="Calibri" w:cs="Calibri" w:eastAsia="Calibri" w:hAnsi="Calibri"/>
          <w:b w:val="false"/>
          <w:bCs w:val="false"/>
          <w:i w:val="false"/>
          <w:iCs w:val="false"/>
          <w:color w:val="2A1B1D"/>
          <w:sz w:val="22"/>
          <w:szCs w:val="22"/>
        </w:rPr>
        <w:t xml:space="preserve">Corporate banking (current 62% of RWAs): hold or modestly grow. The franchise generates the cash flows that fund strategic transformation. Capital allocation is sufficient to maintain market position and selectively grow with target clients, but not to drive incremental concentration.</w:t>
      </w:r>
    </w:p>
    <w:p>
      <w:pPr>
        <w:spacing w:after="200"/>
        <w:jc w:val="left"/>
      </w:pPr>
      <w:r>
        <w:rPr>
          <w:rFonts w:ascii="Calibri" w:cs="Calibri" w:eastAsia="Calibri" w:hAnsi="Calibri"/>
          <w:b w:val="false"/>
          <w:bCs w:val="false"/>
          <w:i w:val="false"/>
          <w:iCs w:val="false"/>
          <w:color w:val="2A1B1D"/>
          <w:sz w:val="22"/>
          <w:szCs w:val="22"/>
        </w:rPr>
        <w:t xml:space="preserve">SME banking (current 14% of RWAs): grow to 20-22% of RWAs by FY28. SME book growth is the primary mechanism for diversifying away from corporate concentration. The strategy assumes SME credit losses higher than corporate but offset by higher margin and lower concentration risk.</w:t>
      </w:r>
    </w:p>
    <w:p>
      <w:pPr>
        <w:spacing w:after="200"/>
        <w:jc w:val="left"/>
      </w:pPr>
      <w:r>
        <w:rPr>
          <w:rFonts w:ascii="Calibri" w:cs="Calibri" w:eastAsia="Calibri" w:hAnsi="Calibri"/>
          <w:b w:val="false"/>
          <w:bCs w:val="false"/>
          <w:i w:val="false"/>
          <w:iCs w:val="false"/>
          <w:color w:val="2A1B1D"/>
          <w:sz w:val="22"/>
          <w:szCs w:val="22"/>
        </w:rPr>
        <w:t xml:space="preserve">Digital lending (current 6% of RWAs): grow to 12-15% of RWAs by FY28, with explicit cohort-based capital reservation. The digital lending thesis carries unproven cohort dynamics; capital allocation increases as cohort performance is observed, with the option to slow or accelerate based on actual NPL trajectory.</w:t>
      </w:r>
    </w:p>
    <w:p>
      <w:pPr>
        <w:spacing w:after="200"/>
        <w:jc w:val="left"/>
      </w:pPr>
      <w:r>
        <w:rPr>
          <w:rFonts w:ascii="Calibri" w:cs="Calibri" w:eastAsia="Calibri" w:hAnsi="Calibri"/>
          <w:b w:val="false"/>
          <w:bCs w:val="false"/>
          <w:i w:val="false"/>
          <w:iCs w:val="false"/>
          <w:color w:val="2A1B1D"/>
          <w:sz w:val="22"/>
          <w:szCs w:val="22"/>
        </w:rPr>
        <w:t xml:space="preserve">Treasury and trading (current 18% of RWAs): hold. Treasury operations are not strategic; they support the franchise without capital priority claim.</w:t>
      </w:r>
    </w:p>
    <w:p>
      <w:pPr>
        <w:pStyle w:val="Heading3"/>
        <w:spacing w:after="120" w:before="220"/>
      </w:pPr>
      <w:r>
        <w:rPr>
          <w:rFonts w:ascii="Calibri" w:cs="Calibri" w:eastAsia="Calibri" w:hAnsi="Calibri"/>
          <w:b/>
          <w:bCs/>
          <w:color w:val="2A1B1D"/>
          <w:sz w:val="22"/>
          <w:szCs w:val="22"/>
        </w:rPr>
        <w:t xml:space="preserve">Capital decision rights</w:t>
      </w:r>
    </w:p>
    <w:p>
      <w:pPr>
        <w:spacing w:after="200"/>
        <w:jc w:val="left"/>
      </w:pPr>
      <w:r>
        <w:rPr>
          <w:rFonts w:ascii="Calibri" w:cs="Calibri" w:eastAsia="Calibri" w:hAnsi="Calibri"/>
          <w:b w:val="false"/>
          <w:bCs w:val="false"/>
          <w:i w:val="false"/>
          <w:iCs w:val="false"/>
          <w:color w:val="2A1B1D"/>
          <w:sz w:val="22"/>
          <w:szCs w:val="22"/>
        </w:rPr>
        <w:t xml:space="preserve">The framework establishes clear decision rights. Capital allocations within ±20% of business line targets are within management discretion, reported quarterly to Risk Committee. Allocations outside that range, or new business line capital deployments, require Board approval. Acquisitions or major balance sheet decisions require dedicated Board sessions.</w:t>
      </w:r>
    </w:p>
    <w:p>
      <w:pPr>
        <w:pStyle w:val="Heading3"/>
        <w:spacing w:after="120" w:before="220"/>
      </w:pPr>
      <w:r>
        <w:rPr>
          <w:rFonts w:ascii="Calibri" w:cs="Calibri" w:eastAsia="Calibri" w:hAnsi="Calibri"/>
          <w:b/>
          <w:bCs/>
          <w:color w:val="2A1B1D"/>
          <w:sz w:val="22"/>
          <w:szCs w:val="22"/>
        </w:rPr>
        <w:t xml:space="preserve">Connection to the strategic plan</w:t>
      </w:r>
    </w:p>
    <w:p>
      <w:pPr>
        <w:spacing w:after="200"/>
        <w:jc w:val="left"/>
      </w:pPr>
      <w:r>
        <w:rPr>
          <w:rFonts w:ascii="Calibri" w:cs="Calibri" w:eastAsia="Calibri" w:hAnsi="Calibri"/>
          <w:b w:val="false"/>
          <w:bCs w:val="false"/>
          <w:i w:val="false"/>
          <w:iCs w:val="false"/>
          <w:color w:val="2A1B1D"/>
          <w:sz w:val="22"/>
          <w:szCs w:val="22"/>
        </w:rPr>
        <w:t xml:space="preserve">This framework operationalises the Strategic Plan 2024-2028 capital strategy. The 14% CET1 floor is consistent with the Strategic Plan's commitment; the diversification trajectory across business lines is what produces the FY28 targets. Material deviation from this framework would constitute strategic plan deviation and would require explicit Board engagement.</w:t>
      </w:r>
    </w:p>
    <w:p>
      <w:pPr>
        <w:spacing w:after="280"/>
      </w:pPr>
      <w:r>
        <w:t xml:space="preserve"/>
      </w:r>
    </w:p>
    <w:p>
      <w:r>
        <w:br w:type="pag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Digital Transformation Strategy — Strategic Refresh</w:t>
      </w:r>
    </w:p>
    <w:p>
      <w:pPr>
        <w:spacing w:after="160"/>
      </w:pPr>
      <w:r>
        <w:rPr>
          <w:rFonts w:ascii="Calibri" w:cs="Calibri" w:eastAsia="Calibri" w:hAnsi="Calibri"/>
          <w:i/>
          <w:iCs/>
          <w:color w:val="6B6B6B"/>
          <w:sz w:val="18"/>
          <w:szCs w:val="18"/>
        </w:rPr>
        <w:t xml:space="preserve">Mara Heritage Bank · Office of the CEO · Q1 2026 · For Board Discussion ·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Why this refresh</w:t>
      </w:r>
    </w:p>
    <w:p>
      <w:pPr>
        <w:spacing w:after="200"/>
        <w:jc w:val="left"/>
      </w:pPr>
      <w:r>
        <w:rPr>
          <w:rFonts w:ascii="Calibri" w:cs="Calibri" w:eastAsia="Calibri" w:hAnsi="Calibri"/>
          <w:b w:val="false"/>
          <w:bCs w:val="false"/>
          <w:i w:val="false"/>
          <w:iCs w:val="false"/>
          <w:color w:val="2A1B1D"/>
          <w:sz w:val="22"/>
          <w:szCs w:val="22"/>
        </w:rPr>
        <w:t xml:space="preserve">The original Digital Transformation Strategy was approved in 2023 against a different sector context. Two years in, three things have changed materially. First, the digital lending portfolio has crossed the 9% NPL threshold, ahead of the cohort dynamics the original strategy anticipated. Second, peer banks have moved more aggressively on customer-side digital experience, narrowing the gap the original strategy assumed would persist. Third, the regulatory environment around digital credit has tightened, with CBK's recent supervisory updates raising the bar on digital lending governance.</w:t>
      </w:r>
    </w:p>
    <w:p>
      <w:pPr>
        <w:pStyle w:val="Heading3"/>
        <w:spacing w:after="120" w:before="220"/>
      </w:pPr>
      <w:r>
        <w:rPr>
          <w:rFonts w:ascii="Calibri" w:cs="Calibri" w:eastAsia="Calibri" w:hAnsi="Calibri"/>
          <w:b/>
          <w:bCs/>
          <w:color w:val="2A1B1D"/>
          <w:sz w:val="22"/>
          <w:szCs w:val="22"/>
        </w:rPr>
        <w:t xml:space="preserve">What is working</w:t>
      </w:r>
    </w:p>
    <w:p>
      <w:pPr>
        <w:spacing w:after="200"/>
        <w:jc w:val="left"/>
      </w:pPr>
      <w:r>
        <w:rPr>
          <w:rFonts w:ascii="Calibri" w:cs="Calibri" w:eastAsia="Calibri" w:hAnsi="Calibri"/>
          <w:b w:val="false"/>
          <w:bCs w:val="false"/>
          <w:i w:val="false"/>
          <w:iCs w:val="false"/>
          <w:color w:val="2A1B1D"/>
          <w:sz w:val="22"/>
          <w:szCs w:val="22"/>
        </w:rPr>
        <w:t xml:space="preserve">The customer-facing digital channels have performed ahead of plan. Mobile transaction volumes are 2.4× the FY24 baseline; digital channel uptime has been 99.6% over the last twelve months; customer satisfaction scores on digital channels are at parity with the best peer in the market. The technology platform investment is producing the expected operational benefits: cost-to-serve on retail customers has fallen by 18%, branch traffic on routine transactions is down 31%.</w:t>
      </w:r>
    </w:p>
    <w:p>
      <w:pPr>
        <w:pStyle w:val="Heading3"/>
        <w:spacing w:after="120" w:before="220"/>
      </w:pPr>
      <w:r>
        <w:rPr>
          <w:rFonts w:ascii="Calibri" w:cs="Calibri" w:eastAsia="Calibri" w:hAnsi="Calibri"/>
          <w:b/>
          <w:bCs/>
          <w:color w:val="2A1B1D"/>
          <w:sz w:val="22"/>
          <w:szCs w:val="22"/>
        </w:rPr>
        <w:t xml:space="preserve">What is not working</w:t>
      </w:r>
    </w:p>
    <w:p>
      <w:pPr>
        <w:spacing w:after="200"/>
        <w:jc w:val="left"/>
      </w:pPr>
      <w:r>
        <w:rPr>
          <w:rFonts w:ascii="Calibri" w:cs="Calibri" w:eastAsia="Calibri" w:hAnsi="Calibri"/>
          <w:b w:val="false"/>
          <w:bCs w:val="false"/>
          <w:i w:val="false"/>
          <w:iCs w:val="false"/>
          <w:color w:val="2A1B1D"/>
          <w:sz w:val="22"/>
          <w:szCs w:val="22"/>
        </w:rPr>
        <w:t xml:space="preserve">Digital lending NPL has emerged as the central concern. The original cohort model anticipated steady-state NPL of 6-7% for digital lending; actuals have crossed 9% in Q1 2026 and the trajectory is not yet stable. The CRO's current view is that the steady state may settle in the 8-11% range — within tolerance for a high-margin product, but well above the original assumption. The implications cascade: the digital revenue contribution target for FY28 (18% of total revenue) was modelled on the original NPL assumption; at the revised NPL, the same revenue contribution requires substantially more book growth, or a different product mix within digital lending.</w:t>
      </w:r>
    </w:p>
    <w:p>
      <w:pPr>
        <w:pStyle w:val="Heading3"/>
        <w:spacing w:after="120" w:before="220"/>
      </w:pPr>
      <w:r>
        <w:rPr>
          <w:rFonts w:ascii="Calibri" w:cs="Calibri" w:eastAsia="Calibri" w:hAnsi="Calibri"/>
          <w:b/>
          <w:bCs/>
          <w:color w:val="2A1B1D"/>
          <w:sz w:val="22"/>
          <w:szCs w:val="22"/>
        </w:rPr>
        <w:t xml:space="preserve">Strategic options for the refresh</w:t>
      </w:r>
    </w:p>
    <w:p>
      <w:pPr>
        <w:spacing w:after="200"/>
        <w:jc w:val="left"/>
      </w:pPr>
      <w:r>
        <w:rPr>
          <w:rFonts w:ascii="Calibri" w:cs="Calibri" w:eastAsia="Calibri" w:hAnsi="Calibri"/>
          <w:b w:val="false"/>
          <w:bCs w:val="false"/>
          <w:i w:val="false"/>
          <w:iCs w:val="false"/>
          <w:color w:val="2A1B1D"/>
          <w:sz w:val="22"/>
          <w:szCs w:val="22"/>
        </w:rPr>
        <w:t xml:space="preserve">Three options are before the Board:</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Maintain the FY28 digital revenue target, accept the higher NPL profile, increase capital allocation to digital lending to support faster book growth. Implication: higher near-term losses, FY28 target achievable on revised assumptions, but with more volatility in the digital book.</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Reduce the FY28 digital revenue target to 14-15% from 18%, recalibrate to the realistic NPL trajectory, redirect capital to other diversification levers. Implication: more conservative trajectory, lower volatility, but requires explanation in next investor communication and may compromise the bank's narrative on transformation pace.</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Pivot the digital lending product mix away from unsecured consumer credit toward secured SME digital lending. Implication: smaller addressable market, slower book growth, but better risk profile and stronger alignment with the Strategic Plan's SME emphasis.</w:t>
      </w:r>
    </w:p>
    <w:p>
      <w:pPr>
        <w:pStyle w:val="Heading3"/>
        <w:spacing w:after="120" w:before="220"/>
      </w:pPr>
      <w:r>
        <w:rPr>
          <w:rFonts w:ascii="Calibri" w:cs="Calibri" w:eastAsia="Calibri" w:hAnsi="Calibri"/>
          <w:b/>
          <w:bCs/>
          <w:color w:val="2A1B1D"/>
          <w:sz w:val="22"/>
          <w:szCs w:val="22"/>
        </w:rPr>
        <w:t xml:space="preserve">CEO recommendation</w:t>
      </w:r>
    </w:p>
    <w:p>
      <w:pPr>
        <w:spacing w:after="200"/>
        <w:jc w:val="left"/>
      </w:pPr>
      <w:r>
        <w:rPr>
          <w:rFonts w:ascii="Calibri" w:cs="Calibri" w:eastAsia="Calibri" w:hAnsi="Calibri"/>
          <w:b w:val="false"/>
          <w:bCs w:val="false"/>
          <w:i w:val="false"/>
          <w:iCs w:val="false"/>
          <w:color w:val="2A1B1D"/>
          <w:sz w:val="22"/>
          <w:szCs w:val="22"/>
        </w:rPr>
        <w:t xml:space="preserve">The CEO recommends Option 3, with the digital revenue target adjusted to 16% (between the original 18% and the conservative 14%). The recommendation rests on the judgement that the unsecured consumer digital lending thesis was a strategic error — the cohort dynamics were not adequately understood at the original strategy approval — and that pivoting now is preferable to defending the original choice.</w:t>
      </w:r>
    </w:p>
    <w:p>
      <w:pPr>
        <w:pStyle w:val="Heading3"/>
        <w:spacing w:after="120" w:before="220"/>
      </w:pPr>
      <w:r>
        <w:rPr>
          <w:rFonts w:ascii="Calibri" w:cs="Calibri" w:eastAsia="Calibri" w:hAnsi="Calibri"/>
          <w:b/>
          <w:bCs/>
          <w:color w:val="2A1B1D"/>
          <w:sz w:val="22"/>
          <w:szCs w:val="22"/>
        </w:rPr>
        <w:t xml:space="preserve">Board questions for discussion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Is the cohort model revision robust, or do we need an external review before committing to the strategic refresh?</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What is the right communication to investors and CBK around the strategy refresh, and what is the timing?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Does Option 3's secured-SME pivot conflict with the SME banking strategy already approved, or does it reinforce it?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If we pivot, how do we manage the transition in the existing unsecured digital book without crystallising larger near-term losses?</w:t>
      </w:r>
    </w:p>
    <w:p>
      <w:pPr>
        <w:spacing w:after="280"/>
      </w:pPr>
      <w:r>
        <w:t xml:space="preserve"/>
      </w:r>
    </w:p>
    <w:p>
      <w:r>
        <w:br w:type="page"/>
      </w:r>
    </w:p>
    <w:p>
      <w:pPr>
        <w:spacing w:after="60"/>
      </w:pPr>
      <w:r>
        <w:rPr>
          <w:rFonts w:ascii="Calibri" w:cs="Calibri" w:eastAsia="Calibri" w:hAnsi="Calibri"/>
          <w:b/>
          <w:bCs/>
          <w:color w:val="C25A38"/>
          <w:spacing w:val="80"/>
          <w:sz w:val="16"/>
          <w:szCs w:val="16"/>
        </w:rPr>
        <w:t xml:space="preserve">HEALTHCARE · STRATEGIC DOCUMENTS</w:t>
      </w:r>
    </w:p>
    <w:p>
      <w:pPr>
        <w:pStyle w:val="Heading1"/>
        <w:spacing w:after="220" w:before="440"/>
      </w:pPr>
      <w:r>
        <w:rPr>
          <w:rFonts w:ascii="Georgia" w:cs="Georgia" w:eastAsia="Georgia" w:hAnsi="Georgia"/>
          <w:b/>
          <w:bCs/>
          <w:color w:val="2A1B1D"/>
          <w:sz w:val="36"/>
          <w:szCs w:val="36"/>
        </w:rPr>
        <w:t xml:space="preserve">Lenana Health Group — Strategic Documents</w:t>
      </w:r>
    </w:p>
    <w:p>
      <w:pPr>
        <w:spacing w:after="200"/>
        <w:jc w:val="left"/>
      </w:pPr>
      <w:r>
        <w:rPr>
          <w:rFonts w:ascii="Calibri" w:cs="Calibri" w:eastAsia="Calibri" w:hAnsi="Calibri"/>
          <w:b w:val="false"/>
          <w:bCs w:val="false"/>
          <w:i w:val="false"/>
          <w:iCs w:val="false"/>
          <w:color w:val="2A1B1D"/>
          <w:sz w:val="22"/>
          <w:szCs w:val="22"/>
        </w:rPr>
        <w:t xml:space="preserve">Three strategic documents covering the group's pre-IPO strategic plan, geographic expansion strategy, and clinical excellence strategy. Together they establish the strategic frame against which the tactical materials in the original pack should be read.</w:t>
      </w:r>
    </w:p>
    <w:p>
      <w:pPr>
        <w:spacing w:after="280"/>
      </w:pPr>
      <w:r>
        <w:t xml:space="preserv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Pre-IPO Strategic Plan 2025-2028</w:t>
      </w:r>
    </w:p>
    <w:p>
      <w:pPr>
        <w:spacing w:after="160"/>
      </w:pPr>
      <w:r>
        <w:rPr>
          <w:rFonts w:ascii="Calibri" w:cs="Calibri" w:eastAsia="Calibri" w:hAnsi="Calibri"/>
          <w:i/>
          <w:iCs/>
          <w:color w:val="6B6B6B"/>
          <w:sz w:val="18"/>
          <w:szCs w:val="18"/>
        </w:rPr>
        <w:t xml:space="preserve">Lenana Health Group · Board endorsed January 2025 · Annual review ·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Strategic positioning</w:t>
      </w:r>
    </w:p>
    <w:p>
      <w:pPr>
        <w:spacing w:after="200"/>
        <w:jc w:val="left"/>
      </w:pPr>
      <w:r>
        <w:rPr>
          <w:rFonts w:ascii="Calibri" w:cs="Calibri" w:eastAsia="Calibri" w:hAnsi="Calibri"/>
          <w:b w:val="false"/>
          <w:bCs w:val="false"/>
          <w:i w:val="false"/>
          <w:iCs w:val="false"/>
          <w:color w:val="2A1B1D"/>
          <w:sz w:val="22"/>
          <w:szCs w:val="22"/>
        </w:rPr>
        <w:t xml:space="preserve">Lenana Health Group is preparing for IPO in late 2027 against a regional healthcare market that is consolidating rapidly. The group's strategic positioning rests on three claims: the largest pan-East African private healthcare network, a clinical quality reputation built over fifteen years, and a payer-mix that demonstrates resilience across the region's economic cycles. The strategic plan's purpose is to navigate from current operational reality to IPO readiness while preserving — and where possible strengthening — these positioning claims.</w:t>
      </w:r>
    </w:p>
    <w:p>
      <w:pPr>
        <w:pStyle w:val="Heading3"/>
        <w:spacing w:after="120" w:before="220"/>
      </w:pPr>
      <w:r>
        <w:rPr>
          <w:rFonts w:ascii="Calibri" w:cs="Calibri" w:eastAsia="Calibri" w:hAnsi="Calibri"/>
          <w:b/>
          <w:bCs/>
          <w:color w:val="2A1B1D"/>
          <w:sz w:val="22"/>
          <w:szCs w:val="22"/>
        </w:rPr>
        <w:t xml:space="preserve">The IPO strategic objectives</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Reach IPO with all six facilities operationally stable, including the Tanzania expansion. Operational stability means: clinical quality metrics within group historical baseline, EBITDA margins at facility maturity (16-18%), payer-mix consistent with group strategic profile.</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Establish IPO-grade clinical governance documentation. Twenty-four months of consistent quality reporting, sentinel event tracking that meets disclosure requirements, clinical leadership credentials that survive prospectus review.</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Position for post-IPO growth without commitment to specific acquisitions. The IPO narrative should establish capacity for continued regional expansion, but not pre-commit to specific deals that could constrain post-IPO flexibility.</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Demonstrate management depth. Pre-IPO governance reviews consistently flag founder-CEO and small leadership team as IPO risk. The plan commits to two senior leadership additions before IPO filing.</w:t>
      </w:r>
    </w:p>
    <w:p>
      <w:pPr>
        <w:pStyle w:val="Heading3"/>
        <w:spacing w:after="120" w:before="220"/>
      </w:pPr>
      <w:r>
        <w:rPr>
          <w:rFonts w:ascii="Calibri" w:cs="Calibri" w:eastAsia="Calibri" w:hAnsi="Calibri"/>
          <w:b/>
          <w:bCs/>
          <w:color w:val="2A1B1D"/>
          <w:sz w:val="22"/>
          <w:szCs w:val="22"/>
        </w:rPr>
        <w:t xml:space="preserve">The Tanzania question</w:t>
      </w:r>
    </w:p>
    <w:p>
      <w:pPr>
        <w:spacing w:after="200"/>
        <w:jc w:val="left"/>
      </w:pPr>
      <w:r>
        <w:rPr>
          <w:rFonts w:ascii="Calibri" w:cs="Calibri" w:eastAsia="Calibri" w:hAnsi="Calibri"/>
          <w:b w:val="false"/>
          <w:bCs w:val="false"/>
          <w:i w:val="false"/>
          <w:iCs w:val="false"/>
          <w:color w:val="2A1B1D"/>
          <w:sz w:val="22"/>
          <w:szCs w:val="22"/>
        </w:rPr>
        <w:t xml:space="preserve">The Tanzania facility is both the strategic plan's largest opportunity and its largest risk. The opportunity: Tanzania's healthcare market is underserved at the segment Lenana targets, and the facility's first-year performance suggests strong demand. The risk: clinical incident rates at 2.4× the group average, integration challenges that have run longer than anticipated, and a payer-mix that has evolved differently from plan.</w:t>
      </w:r>
    </w:p>
    <w:p>
      <w:pPr>
        <w:spacing w:after="200"/>
        <w:jc w:val="left"/>
      </w:pPr>
      <w:r>
        <w:rPr>
          <w:rFonts w:ascii="Calibri" w:cs="Calibri" w:eastAsia="Calibri" w:hAnsi="Calibri"/>
          <w:b w:val="false"/>
          <w:bCs w:val="false"/>
          <w:i w:val="false"/>
          <w:iCs w:val="false"/>
          <w:color w:val="2A1B1D"/>
          <w:sz w:val="22"/>
          <w:szCs w:val="22"/>
        </w:rPr>
        <w:t xml:space="preserve">The strategic plan's commitment is to bring Tanzania to operational stability before IPO filing, with clinical quality as the binding constraint. If clinical metrics cannot be brought within group baseline by Q4 2026, the IPO timeline must shift — not the clinical commitment. This is an explicit Board commitment.</w:t>
      </w:r>
    </w:p>
    <w:p>
      <w:pPr>
        <w:pStyle w:val="Heading3"/>
        <w:spacing w:after="120" w:before="220"/>
      </w:pPr>
      <w:r>
        <w:rPr>
          <w:rFonts w:ascii="Calibri" w:cs="Calibri" w:eastAsia="Calibri" w:hAnsi="Calibri"/>
          <w:b/>
          <w:bCs/>
          <w:color w:val="2A1B1D"/>
          <w:sz w:val="22"/>
          <w:szCs w:val="22"/>
        </w:rPr>
        <w:t xml:space="preserve">Strategic targets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Bed capacity: 1,400 by FY 2028 (currently 1,100)</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Group EBITDA margin: 18% by FY 2027 (currently 14%, Tanzania drag)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Sentinel events: within group historical baseline (Q1 2026 above baseline)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IPO filing-ready: Q4 2027 (financial track on, clinical track at risk)</w:t>
      </w:r>
    </w:p>
    <w:p>
      <w:pPr>
        <w:pStyle w:val="Heading3"/>
        <w:spacing w:after="120" w:before="220"/>
      </w:pPr>
      <w:r>
        <w:rPr>
          <w:rFonts w:ascii="Calibri" w:cs="Calibri" w:eastAsia="Calibri" w:hAnsi="Calibri"/>
          <w:b/>
          <w:bCs/>
          <w:color w:val="2A1B1D"/>
          <w:sz w:val="22"/>
          <w:szCs w:val="22"/>
        </w:rPr>
        <w:t xml:space="preserve">The strategic question that needs Board review</w:t>
      </w:r>
    </w:p>
    <w:p>
      <w:pPr>
        <w:spacing w:after="200"/>
        <w:jc w:val="left"/>
      </w:pPr>
      <w:r>
        <w:rPr>
          <w:rFonts w:ascii="Calibri" w:cs="Calibri" w:eastAsia="Calibri" w:hAnsi="Calibri"/>
          <w:b w:val="false"/>
          <w:bCs w:val="false"/>
          <w:i w:val="false"/>
          <w:iCs w:val="false"/>
          <w:color w:val="2A1B1D"/>
          <w:sz w:val="22"/>
          <w:szCs w:val="22"/>
        </w:rPr>
        <w:t xml:space="preserve">Q1 2026 has produced two pieces of evidence that warrant strategic plan review. Maternity unit sentinel events at the Nairobi flagship are running at three times the historical pattern; HR data shows the unit has been below the safety staffing threshold for two consecutive months. This is occurring at the flagship facility — not Tanzania — and suggests that the assumed clinical stability of mature facilities cannot be relied on as the IPO timeline approaches. The next Strategy Day should consider whether the strategic plan's binding constraint (clinical quality before IPO) requires more aggressive operational interventions across the group, not just Tanzania.</w:t>
      </w:r>
    </w:p>
    <w:p>
      <w:pPr>
        <w:spacing w:after="280"/>
      </w:pPr>
      <w:r>
        <w:t xml:space="preserve"/>
      </w:r>
    </w:p>
    <w:p>
      <w:r>
        <w:br w:type="pag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Geographic Expansion Strategy — Tanzania Integration Review</w:t>
      </w:r>
    </w:p>
    <w:p>
      <w:pPr>
        <w:spacing w:after="160"/>
      </w:pPr>
      <w:r>
        <w:rPr>
          <w:rFonts w:ascii="Calibri" w:cs="Calibri" w:eastAsia="Calibri" w:hAnsi="Calibri"/>
          <w:i/>
          <w:iCs/>
          <w:color w:val="6B6B6B"/>
          <w:sz w:val="18"/>
          <w:szCs w:val="18"/>
        </w:rPr>
        <w:t xml:space="preserve">Lenana Health Group · COO Office · Q1 2026 · For Board Strategic Discussion</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Why this review</w:t>
      </w:r>
    </w:p>
    <w:p>
      <w:pPr>
        <w:spacing w:after="200"/>
        <w:jc w:val="left"/>
      </w:pPr>
      <w:r>
        <w:rPr>
          <w:rFonts w:ascii="Calibri" w:cs="Calibri" w:eastAsia="Calibri" w:hAnsi="Calibri"/>
          <w:b w:val="false"/>
          <w:bCs w:val="false"/>
          <w:i w:val="false"/>
          <w:iCs w:val="false"/>
          <w:color w:val="2A1B1D"/>
          <w:sz w:val="22"/>
          <w:szCs w:val="22"/>
        </w:rPr>
        <w:t xml:space="preserve">The Tanzania facility opened in February 2025. Fourteen months in, the integration has produced both stronger-than-plan operational performance and weaker-than-plan clinical performance. This review presents the integration evidence, identifies the strategic question, and recommends a path forward.</w:t>
      </w:r>
    </w:p>
    <w:p>
      <w:pPr>
        <w:pStyle w:val="Heading3"/>
        <w:spacing w:after="120" w:before="220"/>
      </w:pPr>
      <w:r>
        <w:rPr>
          <w:rFonts w:ascii="Calibri" w:cs="Calibri" w:eastAsia="Calibri" w:hAnsi="Calibri"/>
          <w:b/>
          <w:bCs/>
          <w:color w:val="2A1B1D"/>
          <w:sz w:val="22"/>
          <w:szCs w:val="22"/>
        </w:rPr>
        <w:t xml:space="preserve">What the evidence shows</w:t>
      </w:r>
    </w:p>
    <w:p>
      <w:pPr>
        <w:spacing w:after="200"/>
        <w:jc w:val="left"/>
      </w:pPr>
      <w:r>
        <w:rPr>
          <w:rFonts w:ascii="Calibri" w:cs="Calibri" w:eastAsia="Calibri" w:hAnsi="Calibri"/>
          <w:b w:val="false"/>
          <w:bCs w:val="false"/>
          <w:i w:val="false"/>
          <w:iCs w:val="false"/>
          <w:color w:val="2A1B1D"/>
          <w:sz w:val="22"/>
          <w:szCs w:val="22"/>
        </w:rPr>
        <w:t xml:space="preserve">Operational metrics ahead of plan. Bed occupancy at 72% (against 60% Year-1 plan). Outpatient volumes at 1.4× plan. Insurance contracts secured with the three largest local insurers within twelve months (plan was eighteen). Revenue per occupied bed-day at 88% of group average (plan was 75%). The market thesis is validated.</w:t>
      </w:r>
    </w:p>
    <w:p>
      <w:pPr>
        <w:spacing w:after="200"/>
        <w:jc w:val="left"/>
      </w:pPr>
      <w:r>
        <w:rPr>
          <w:rFonts w:ascii="Calibri" w:cs="Calibri" w:eastAsia="Calibri" w:hAnsi="Calibri"/>
          <w:b w:val="false"/>
          <w:bCs w:val="false"/>
          <w:i w:val="false"/>
          <w:iCs w:val="false"/>
          <w:color w:val="2A1B1D"/>
          <w:sz w:val="22"/>
          <w:szCs w:val="22"/>
        </w:rPr>
        <w:t xml:space="preserve">Clinical metrics behind plan. Sentinel event rate at 2.4× group average. Patient satisfaction scores at 78% (group average 89%). Senior clinical staff turnover in the first year at 22% (group average 11%). The clinical integration thesis is not yet validated.</w:t>
      </w:r>
    </w:p>
    <w:p>
      <w:pPr>
        <w:pStyle w:val="Heading3"/>
        <w:spacing w:after="120" w:before="220"/>
      </w:pPr>
      <w:r>
        <w:rPr>
          <w:rFonts w:ascii="Calibri" w:cs="Calibri" w:eastAsia="Calibri" w:hAnsi="Calibri"/>
          <w:b/>
          <w:bCs/>
          <w:color w:val="2A1B1D"/>
          <w:sz w:val="22"/>
          <w:szCs w:val="22"/>
        </w:rPr>
        <w:t xml:space="preserve">The strategic question</w:t>
      </w:r>
    </w:p>
    <w:p>
      <w:pPr>
        <w:spacing w:after="200"/>
        <w:jc w:val="left"/>
      </w:pPr>
      <w:r>
        <w:rPr>
          <w:rFonts w:ascii="Calibri" w:cs="Calibri" w:eastAsia="Calibri" w:hAnsi="Calibri"/>
          <w:b w:val="false"/>
          <w:bCs w:val="false"/>
          <w:i w:val="false"/>
          <w:iCs w:val="false"/>
          <w:color w:val="2A1B1D"/>
          <w:sz w:val="22"/>
          <w:szCs w:val="22"/>
        </w:rPr>
        <w:t xml:space="preserve">Three diagnoses are possible. The first: this is normal new-facility teething; the convergence pattern from peer regional groups suggests 18-24 months to clinical baseline. Under this diagnosis, the trajectory is acceptable and the IPO timeline can hold. The second: this reflects a specific structural mismatch between Lenana's operating model and Tanzania's clinical workforce environment; without targeted interventions, the convergence will not happen. Under this diagnosis, the timeline can hold only if specific interventions are committed and executed. The third: the original integration thesis underestimated the cultural and operational complexity of Tanzania's healthcare environment; the convergence is not assured even with interventions; the IPO timeline must absorb this uncertainty.</w:t>
      </w:r>
    </w:p>
    <w:p>
      <w:pPr>
        <w:pStyle w:val="Heading3"/>
        <w:spacing w:after="120" w:before="220"/>
      </w:pPr>
      <w:r>
        <w:rPr>
          <w:rFonts w:ascii="Calibri" w:cs="Calibri" w:eastAsia="Calibri" w:hAnsi="Calibri"/>
          <w:b/>
          <w:bCs/>
          <w:color w:val="2A1B1D"/>
          <w:sz w:val="22"/>
          <w:szCs w:val="22"/>
        </w:rPr>
        <w:t xml:space="preserve">Recommendation</w:t>
      </w:r>
    </w:p>
    <w:p>
      <w:pPr>
        <w:spacing w:after="200"/>
        <w:jc w:val="left"/>
      </w:pPr>
      <w:r>
        <w:rPr>
          <w:rFonts w:ascii="Calibri" w:cs="Calibri" w:eastAsia="Calibri" w:hAnsi="Calibri"/>
          <w:b w:val="false"/>
          <w:bCs w:val="false"/>
          <w:i w:val="false"/>
          <w:iCs w:val="false"/>
          <w:color w:val="2A1B1D"/>
          <w:sz w:val="22"/>
          <w:szCs w:val="22"/>
        </w:rPr>
        <w:t xml:space="preserve">The COO recommends treating the situation as Diagnosis 2 — structural mismatch requiring targeted intervention — while preserving Diagnosis 3 as the explicit fallback if interventions do not produce convergence by Q4 2026.</w:t>
      </w:r>
    </w:p>
    <w:p>
      <w:pPr>
        <w:spacing w:after="200"/>
        <w:jc w:val="left"/>
      </w:pPr>
      <w:r>
        <w:rPr>
          <w:rFonts w:ascii="Calibri" w:cs="Calibri" w:eastAsia="Calibri" w:hAnsi="Calibri"/>
          <w:b w:val="false"/>
          <w:bCs w:val="false"/>
          <w:i w:val="false"/>
          <w:iCs w:val="false"/>
          <w:color w:val="2A1B1D"/>
          <w:sz w:val="22"/>
          <w:szCs w:val="22"/>
        </w:rPr>
        <w:t xml:space="preserve">Specific interventions recommended:</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Senior clinical leadership rotation. Two senior physicians from the Nairobi flagship to spend 12-month rotations in Tanzania, embedding clinical protocols and mentoring local senior staff.</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Clinical governance committee at facility level. Currently Tanzania reports up to group; the recommendation is for a Tanzania-level clinical governance committee that meets weekly with senior clinical and operational leadership.</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Recruitment investment. Doubling the recruitment budget for senior clinical positions in Tanzania for FY 2026, with mandate to recruit from outside East Africa where local pipeline is thin.</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Clinical integration consultant. External consultancy with proven track record in cross-border hospital integration, six-month engagement with explicit deliverables.</w:t>
      </w:r>
    </w:p>
    <w:p>
      <w:pPr>
        <w:pStyle w:val="Heading3"/>
        <w:spacing w:after="120" w:before="220"/>
      </w:pPr>
      <w:r>
        <w:rPr>
          <w:rFonts w:ascii="Calibri" w:cs="Calibri" w:eastAsia="Calibri" w:hAnsi="Calibri"/>
          <w:b/>
          <w:bCs/>
          <w:color w:val="2A1B1D"/>
          <w:sz w:val="22"/>
          <w:szCs w:val="22"/>
        </w:rPr>
        <w:t xml:space="preserve">Cost and timeline</w:t>
      </w:r>
    </w:p>
    <w:p>
      <w:pPr>
        <w:spacing w:after="200"/>
        <w:jc w:val="left"/>
      </w:pPr>
      <w:r>
        <w:rPr>
          <w:rFonts w:ascii="Calibri" w:cs="Calibri" w:eastAsia="Calibri" w:hAnsi="Calibri"/>
          <w:b w:val="false"/>
          <w:bCs w:val="false"/>
          <w:i w:val="false"/>
          <w:iCs w:val="false"/>
          <w:color w:val="2A1B1D"/>
          <w:sz w:val="22"/>
          <w:szCs w:val="22"/>
        </w:rPr>
        <w:t xml:space="preserve">Total intervention investment: approximately KES 280 million over twelve months. Funding from the Tanzania facility's stronger-than-plan revenue performance — does not require capital reallocation from other facilities. Convergence to group clinical baseline targeted by Q1 2027, six months ahead of IPO filing window.</w:t>
      </w:r>
    </w:p>
    <w:p>
      <w:pPr>
        <w:pStyle w:val="Heading3"/>
        <w:spacing w:after="120" w:before="220"/>
      </w:pPr>
      <w:r>
        <w:rPr>
          <w:rFonts w:ascii="Calibri" w:cs="Calibri" w:eastAsia="Calibri" w:hAnsi="Calibri"/>
          <w:b/>
          <w:bCs/>
          <w:color w:val="2A1B1D"/>
          <w:sz w:val="22"/>
          <w:szCs w:val="22"/>
        </w:rPr>
        <w:t xml:space="preserve">Decision sought</w:t>
      </w:r>
    </w:p>
    <w:p>
      <w:pPr>
        <w:spacing w:after="200"/>
        <w:jc w:val="left"/>
      </w:pPr>
      <w:r>
        <w:rPr>
          <w:rFonts w:ascii="Calibri" w:cs="Calibri" w:eastAsia="Calibri" w:hAnsi="Calibri"/>
          <w:b w:val="false"/>
          <w:bCs w:val="false"/>
          <w:i w:val="false"/>
          <w:iCs w:val="false"/>
          <w:color w:val="2A1B1D"/>
          <w:sz w:val="22"/>
          <w:szCs w:val="22"/>
        </w:rPr>
        <w:t xml:space="preserve">Board endorsement of the intervention plan. Explicit Board acknowledgment that if clinical convergence is not on track by Q4 2026 mid-point review, the IPO timeline must shift — not the clinical commitment. This is the binding constraint of the Pre-IPO Strategic Plan.</w:t>
      </w:r>
    </w:p>
    <w:p>
      <w:pPr>
        <w:spacing w:after="280"/>
      </w:pPr>
      <w:r>
        <w:t xml:space="preserve"/>
      </w:r>
    </w:p>
    <w:p>
      <w:r>
        <w:br w:type="pag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Clinical Excellence Strategy 2025-2028</w:t>
      </w:r>
    </w:p>
    <w:p>
      <w:pPr>
        <w:spacing w:after="160"/>
      </w:pPr>
      <w:r>
        <w:rPr>
          <w:rFonts w:ascii="Calibri" w:cs="Calibri" w:eastAsia="Calibri" w:hAnsi="Calibri"/>
          <w:i/>
          <w:iCs/>
          <w:color w:val="6B6B6B"/>
          <w:sz w:val="18"/>
          <w:szCs w:val="18"/>
        </w:rPr>
        <w:t xml:space="preserve">Lenana Health Group · CMO Office · Endorsed by Quality Committee ·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The strategic premise</w:t>
      </w:r>
    </w:p>
    <w:p>
      <w:pPr>
        <w:spacing w:after="200"/>
        <w:jc w:val="left"/>
      </w:pPr>
      <w:r>
        <w:rPr>
          <w:rFonts w:ascii="Calibri" w:cs="Calibri" w:eastAsia="Calibri" w:hAnsi="Calibri"/>
          <w:b w:val="false"/>
          <w:bCs w:val="false"/>
          <w:i w:val="false"/>
          <w:iCs w:val="false"/>
          <w:color w:val="2A1B1D"/>
          <w:sz w:val="22"/>
          <w:szCs w:val="22"/>
        </w:rPr>
        <w:t xml:space="preserve">Clinical excellence is Lenana's foundational competitive position. The group's IPO narrative, payer relationships, and pricing power all rest on a clinical quality reputation built over fifteen years. The Clinical Excellence Strategy 2025-2028 is the framework for preserving this position through a period of geographic expansion, operational scale-up, and IPO transition — periods that historically have produced clinical quality regression in peer organisations.</w:t>
      </w:r>
    </w:p>
    <w:p>
      <w:pPr>
        <w:pStyle w:val="Heading3"/>
        <w:spacing w:after="120" w:before="220"/>
      </w:pPr>
      <w:r>
        <w:rPr>
          <w:rFonts w:ascii="Calibri" w:cs="Calibri" w:eastAsia="Calibri" w:hAnsi="Calibri"/>
          <w:b/>
          <w:bCs/>
          <w:color w:val="2A1B1D"/>
          <w:sz w:val="22"/>
          <w:szCs w:val="22"/>
        </w:rPr>
        <w:t xml:space="preserve">The four pillars</w:t>
      </w:r>
    </w:p>
    <w:p>
      <w:pPr>
        <w:spacing w:after="200"/>
        <w:jc w:val="left"/>
      </w:pPr>
      <w:r>
        <w:rPr>
          <w:rFonts w:ascii="Calibri" w:cs="Calibri" w:eastAsia="Calibri" w:hAnsi="Calibri"/>
          <w:b w:val="false"/>
          <w:bCs w:val="false"/>
          <w:i w:val="false"/>
          <w:iCs w:val="false"/>
          <w:color w:val="2A1B1D"/>
          <w:sz w:val="22"/>
          <w:szCs w:val="22"/>
        </w:rPr>
        <w:t xml:space="preserve">First, never-events at zero. The strategy commits to maintaining Lenana's never-event rate at zero across all facilities. This is the binding clinical commitment. Any never-event triggers an immediate root-cause analysis and a CMO report direct to the Quality Committee within seventy-two hours.</w:t>
      </w:r>
    </w:p>
    <w:p>
      <w:pPr>
        <w:spacing w:after="200"/>
        <w:jc w:val="left"/>
      </w:pPr>
      <w:r>
        <w:rPr>
          <w:rFonts w:ascii="Calibri" w:cs="Calibri" w:eastAsia="Calibri" w:hAnsi="Calibri"/>
          <w:b w:val="false"/>
          <w:bCs w:val="false"/>
          <w:i w:val="false"/>
          <w:iCs w:val="false"/>
          <w:color w:val="2A1B1D"/>
          <w:sz w:val="22"/>
          <w:szCs w:val="22"/>
        </w:rPr>
        <w:t xml:space="preserve">Second, sentinel events within historical baseline. Group historical sentinel event rate is 0.42 per 1,000 admissions. The strategy commits to maintaining the rate within the 0.35-0.50 band across the group, with explicit accountability when any individual facility moves outside this band for two consecutive quarters.</w:t>
      </w:r>
    </w:p>
    <w:p>
      <w:pPr>
        <w:spacing w:after="200"/>
        <w:jc w:val="left"/>
      </w:pPr>
      <w:r>
        <w:rPr>
          <w:rFonts w:ascii="Calibri" w:cs="Calibri" w:eastAsia="Calibri" w:hAnsi="Calibri"/>
          <w:b w:val="false"/>
          <w:bCs w:val="false"/>
          <w:i w:val="false"/>
          <w:iCs w:val="false"/>
          <w:color w:val="2A1B1D"/>
          <w:sz w:val="22"/>
          <w:szCs w:val="22"/>
        </w:rPr>
        <w:t xml:space="preserve">Third, clinical leadership depth. Each facility maintains at least three senior clinical leaders with five-plus years of Lenana experience. This is a hard constraint on facility opening — no new facility opens without senior leadership depth in place.</w:t>
      </w:r>
    </w:p>
    <w:p>
      <w:pPr>
        <w:spacing w:after="200"/>
        <w:jc w:val="left"/>
      </w:pPr>
      <w:r>
        <w:rPr>
          <w:rFonts w:ascii="Calibri" w:cs="Calibri" w:eastAsia="Calibri" w:hAnsi="Calibri"/>
          <w:b w:val="false"/>
          <w:bCs w:val="false"/>
          <w:i w:val="false"/>
          <w:iCs w:val="false"/>
          <w:color w:val="2A1B1D"/>
          <w:sz w:val="22"/>
          <w:szCs w:val="22"/>
        </w:rPr>
        <w:t xml:space="preserve">Fourth, transparent quality reporting. Internal quality reports are published group-wide quarterly. External quality reports — covering metrics that meet IPO disclosure standards — published bi-annually beginning FY 2026.</w:t>
      </w:r>
    </w:p>
    <w:p>
      <w:pPr>
        <w:pStyle w:val="Heading3"/>
        <w:spacing w:after="120" w:before="220"/>
      </w:pPr>
      <w:r>
        <w:rPr>
          <w:rFonts w:ascii="Calibri" w:cs="Calibri" w:eastAsia="Calibri" w:hAnsi="Calibri"/>
          <w:b/>
          <w:bCs/>
          <w:color w:val="2A1B1D"/>
          <w:sz w:val="22"/>
          <w:szCs w:val="22"/>
        </w:rPr>
        <w:t xml:space="preserve">The strategic question this raises for Q1 2026</w:t>
      </w:r>
    </w:p>
    <w:p>
      <w:pPr>
        <w:spacing w:after="200"/>
        <w:jc w:val="left"/>
      </w:pPr>
      <w:r>
        <w:rPr>
          <w:rFonts w:ascii="Calibri" w:cs="Calibri" w:eastAsia="Calibri" w:hAnsi="Calibri"/>
          <w:b w:val="false"/>
          <w:bCs w:val="false"/>
          <w:i w:val="false"/>
          <w:iCs w:val="false"/>
          <w:color w:val="2A1B1D"/>
          <w:sz w:val="22"/>
          <w:szCs w:val="22"/>
        </w:rPr>
        <w:t xml:space="preserve">The Q1 2026 quality data shows three sentinel events in the maternity unit at the Nairobi flagship — bringing the flagship's quarterly sentinel event rate to 0.81, materially above the strategic band. The CMO's clinical review attributes the increase to case-mix complexity, but the HR data on staffing below safety threshold for two consecutive months suggests a structural rather than coincidental cause.</w:t>
      </w:r>
    </w:p>
    <w:p>
      <w:pPr>
        <w:spacing w:after="200"/>
        <w:jc w:val="left"/>
      </w:pPr>
      <w:r>
        <w:rPr>
          <w:rFonts w:ascii="Calibri" w:cs="Calibri" w:eastAsia="Calibri" w:hAnsi="Calibri"/>
          <w:b w:val="false"/>
          <w:bCs w:val="false"/>
          <w:i w:val="false"/>
          <w:iCs w:val="false"/>
          <w:color w:val="2A1B1D"/>
          <w:sz w:val="22"/>
          <w:szCs w:val="22"/>
        </w:rPr>
        <w:t xml:space="preserve">The Clinical Excellence Strategy commits to specific accountability when a facility moves outside the band for two consecutive quarters. Q1 2026 is the first quarter; Q2 will determine whether the framework's accountability provisions trigger. The Quality Committee has been asked to review whether the existing strategy framework is adequate to the operational reality, or whether a strategic refresh is required ahead of IPO.</w:t>
      </w:r>
    </w:p>
    <w:p>
      <w:pPr>
        <w:pStyle w:val="Heading3"/>
        <w:spacing w:after="120" w:before="220"/>
      </w:pPr>
      <w:r>
        <w:rPr>
          <w:rFonts w:ascii="Calibri" w:cs="Calibri" w:eastAsia="Calibri" w:hAnsi="Calibri"/>
          <w:b/>
          <w:bCs/>
          <w:color w:val="2A1B1D"/>
          <w:sz w:val="22"/>
          <w:szCs w:val="22"/>
        </w:rPr>
        <w:t xml:space="preserve">Strategic options if Q2 confirms the trend</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Treat the sentinel event rise as a flagship-specific operational issue, addressable through staffing intervention without strategic plan revision.</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Treat it as a leading indicator of group-wide pressure as IPO approaches, requiring strategy refresh that strengthens the cross-facility clinical governance framework.</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Treat it as evidence that the IPO timeline is producing operational pressure that compromises clinical excellence, and recommend timeline adjustment to the Strategic Plan.</w:t>
      </w:r>
    </w:p>
    <w:p>
      <w:pPr>
        <w:pStyle w:val="Heading3"/>
        <w:spacing w:after="120" w:before="220"/>
      </w:pPr>
      <w:r>
        <w:rPr>
          <w:rFonts w:ascii="Calibri" w:cs="Calibri" w:eastAsia="Calibri" w:hAnsi="Calibri"/>
          <w:b/>
          <w:bCs/>
          <w:color w:val="2A1B1D"/>
          <w:sz w:val="22"/>
          <w:szCs w:val="22"/>
        </w:rPr>
        <w:t xml:space="preserve">CMO position</w:t>
      </w:r>
    </w:p>
    <w:p>
      <w:pPr>
        <w:spacing w:after="200"/>
        <w:jc w:val="left"/>
      </w:pPr>
      <w:r>
        <w:rPr>
          <w:rFonts w:ascii="Calibri" w:cs="Calibri" w:eastAsia="Calibri" w:hAnsi="Calibri"/>
          <w:b w:val="false"/>
          <w:bCs w:val="false"/>
          <w:i w:val="false"/>
          <w:iCs w:val="false"/>
          <w:color w:val="2A1B1D"/>
          <w:sz w:val="22"/>
          <w:szCs w:val="22"/>
        </w:rPr>
        <w:t xml:space="preserve">The CMO's preliminary view is that the situation is closer to Diagnosis 2 than to either alternative. The strategic plan committed to clinical excellence as a binding constraint, and the operational pressure that produces these outcomes is foreseeable as IPO approaches. A strategy refresh that anticipates IPO-period clinical pressure — and commits resources before the pressure produces measurable harm — is the path that honours the original strategic commitment.</w:t>
      </w:r>
    </w:p>
    <w:p>
      <w:pPr>
        <w:spacing w:after="280"/>
      </w:pPr>
      <w:r>
        <w:t xml:space="preserve"/>
      </w:r>
    </w:p>
    <w:p>
      <w:r>
        <w:br w:type="page"/>
      </w:r>
    </w:p>
    <w:p>
      <w:pPr>
        <w:spacing w:after="60"/>
      </w:pPr>
      <w:r>
        <w:rPr>
          <w:rFonts w:ascii="Calibri" w:cs="Calibri" w:eastAsia="Calibri" w:hAnsi="Calibri"/>
          <w:b/>
          <w:bCs/>
          <w:color w:val="C25A38"/>
          <w:spacing w:val="80"/>
          <w:sz w:val="16"/>
          <w:szCs w:val="16"/>
        </w:rPr>
        <w:t xml:space="preserve">LOGISTICS · STRATEGIC DOCUMENTS</w:t>
      </w:r>
    </w:p>
    <w:p>
      <w:pPr>
        <w:pStyle w:val="Heading1"/>
        <w:spacing w:after="220" w:before="440"/>
      </w:pPr>
      <w:r>
        <w:rPr>
          <w:rFonts w:ascii="Georgia" w:cs="Georgia" w:eastAsia="Georgia" w:hAnsi="Georgia"/>
          <w:b/>
          <w:bCs/>
          <w:color w:val="2A1B1D"/>
          <w:sz w:val="36"/>
          <w:szCs w:val="36"/>
        </w:rPr>
        <w:t xml:space="preserve">Korogocho Logistics Group — Strategic Documents</w:t>
      </w:r>
    </w:p>
    <w:p>
      <w:pPr>
        <w:spacing w:after="200"/>
        <w:jc w:val="left"/>
      </w:pPr>
      <w:r>
        <w:rPr>
          <w:rFonts w:ascii="Calibri" w:cs="Calibri" w:eastAsia="Calibri" w:hAnsi="Calibri"/>
          <w:b w:val="false"/>
          <w:bCs w:val="false"/>
          <w:i w:val="false"/>
          <w:iCs w:val="false"/>
          <w:color w:val="2A1B1D"/>
          <w:sz w:val="22"/>
          <w:szCs w:val="22"/>
        </w:rPr>
        <w:t xml:space="preserve">Three strategic documents covering the pre-IPO strategic plan, founder-CEO succession framework, and market portfolio strategy. The succession question and the IPO timeline are the two strategic decisions that frame everything else; these documents establish that frame.</w:t>
      </w:r>
    </w:p>
    <w:p>
      <w:pPr>
        <w:spacing w:after="280"/>
      </w:pPr>
      <w:r>
        <w:t xml:space="preserv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Pre-IPO Strategic Plan — Path to Listing</w:t>
      </w:r>
    </w:p>
    <w:p>
      <w:pPr>
        <w:spacing w:after="160"/>
      </w:pPr>
      <w:r>
        <w:rPr>
          <w:rFonts w:ascii="Calibri" w:cs="Calibri" w:eastAsia="Calibri" w:hAnsi="Calibri"/>
          <w:i/>
          <w:iCs/>
          <w:color w:val="6B6B6B"/>
          <w:sz w:val="18"/>
          <w:szCs w:val="18"/>
        </w:rPr>
        <w:t xml:space="preserve">Korogocho Logistics Group · Board approved March 2025 ·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The IPO context</w:t>
      </w:r>
    </w:p>
    <w:p>
      <w:pPr>
        <w:spacing w:after="200"/>
        <w:jc w:val="left"/>
      </w:pPr>
      <w:r>
        <w:rPr>
          <w:rFonts w:ascii="Calibri" w:cs="Calibri" w:eastAsia="Calibri" w:hAnsi="Calibri"/>
          <w:b w:val="false"/>
          <w:bCs w:val="false"/>
          <w:i w:val="false"/>
          <w:iCs w:val="false"/>
          <w:color w:val="2A1B1D"/>
          <w:sz w:val="22"/>
          <w:szCs w:val="22"/>
        </w:rPr>
        <w:t xml:space="preserve">Korogocho Logistics Group plans to list on the Nairobi Securities Exchange in H2 2026, with potential dual listing on the Johannesburg Stock Exchange in H2 2027. The IPO is the foundational event for the next strategic period — it provides the capital for continued pan-African expansion, the governance framework that serves a publicly-listed regional logistics company, and the market validation for Korogocho's strategic position.</w:t>
      </w:r>
    </w:p>
    <w:p>
      <w:pPr>
        <w:spacing w:after="200"/>
        <w:jc w:val="left"/>
      </w:pPr>
      <w:r>
        <w:rPr>
          <w:rFonts w:ascii="Calibri" w:cs="Calibri" w:eastAsia="Calibri" w:hAnsi="Calibri"/>
          <w:b w:val="false"/>
          <w:bCs w:val="false"/>
          <w:i w:val="false"/>
          <w:iCs w:val="false"/>
          <w:color w:val="2A1B1D"/>
          <w:sz w:val="22"/>
          <w:szCs w:val="22"/>
        </w:rPr>
        <w:t xml:space="preserve">The IPO is also a binding constraint. The decisions made in the eighteen months before listing — on succession, on market portfolio, on capital structure, on governance — must serve both pre-IPO and post-IPO realities. Mistakes made in this window are difficult to unwind.</w:t>
      </w:r>
    </w:p>
    <w:p>
      <w:pPr>
        <w:pStyle w:val="Heading3"/>
        <w:spacing w:after="120" w:before="220"/>
      </w:pPr>
      <w:r>
        <w:rPr>
          <w:rFonts w:ascii="Calibri" w:cs="Calibri" w:eastAsia="Calibri" w:hAnsi="Calibri"/>
          <w:b/>
          <w:bCs/>
          <w:color w:val="2A1B1D"/>
          <w:sz w:val="22"/>
          <w:szCs w:val="22"/>
        </w:rPr>
        <w:t xml:space="preserve">The four strategic pillars to listing</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Founder-CEO succession in execution. The single most-cited governance gap in pre-IPO reviews. The Nominations Committee's preliminary Path C recommendation — founder transitions to Executive Chairman 18 months pre-IPO with internal CEO successor — must be executed, not just recommended.</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Market portfolio rationalisation. Five markets generating different margin profiles, different operational complexity, different growth trajectories. The IPO narrative requires a coherent portfolio story, not a list of markets. The strategic plan endorses retention of all five markets but commits to operational standardisation that produces unified financial reporting.</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Cross-border tax position resolution. Three live disputes (Tanzania, Uganda, DRC) cannot be carried into IPO disclosure unresolved. The strategic plan commits to resolution or to clear disclosure framework on each before prospectus drafting begins in Q3 2026.</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Operational standardisation. Fleet utilisation ranges from 67% to 89% across markets. The IPO prospectus must explain this either as strategic differentiation (DRC margin premium offsetting lower utilisation) or as operational gap. The strategic plan commits to operational reviews in each market with the goal of bringing utilisation variance within a defensible band.</w:t>
      </w:r>
    </w:p>
    <w:p>
      <w:pPr>
        <w:pStyle w:val="Heading3"/>
        <w:spacing w:after="120" w:before="220"/>
      </w:pPr>
      <w:r>
        <w:rPr>
          <w:rFonts w:ascii="Calibri" w:cs="Calibri" w:eastAsia="Calibri" w:hAnsi="Calibri"/>
          <w:b/>
          <w:bCs/>
          <w:color w:val="2A1B1D"/>
          <w:sz w:val="22"/>
          <w:szCs w:val="22"/>
        </w:rPr>
        <w:t xml:space="preserve">Strategic targets to FY 2028</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Revenue: KES 26 billion (FY 2025: KES 17.8 billion)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EBITDA margin: 14% sustained (FY 2025: 11.2%)</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Cross-border revenue mix: 50% (currently 38%)</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Fleet expansion: 1,200 trucks (currently 820)</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ROIC: 16% sustained post-IPO</w:t>
      </w:r>
    </w:p>
    <w:p>
      <w:pPr>
        <w:pStyle w:val="Heading3"/>
        <w:spacing w:after="120" w:before="220"/>
      </w:pPr>
      <w:r>
        <w:rPr>
          <w:rFonts w:ascii="Calibri" w:cs="Calibri" w:eastAsia="Calibri" w:hAnsi="Calibri"/>
          <w:b/>
          <w:bCs/>
          <w:color w:val="2A1B1D"/>
          <w:sz w:val="22"/>
          <w:szCs w:val="22"/>
        </w:rPr>
        <w:t xml:space="preserve">The strategic risks named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Founder-CEO succession execution. The risk is not the choice of path — Path C is supported. The risk is execution timeline.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DRC operating environment. Political volatility, regulatory uncertainty, FX exposure. The strategic plan endorses retention but commits to specific exit triggers if conditions deteriorate.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Cross-border tax escalation. The current disputes are being managed. New disputes from changed enforcement patterns in any market could materially shift the IPO disclosure profile.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IPO market window. Pan-African logistics IPOs have a narrow window. Timing risk is real but the strategic plan does not advocate accelerating to capture it.</w:t>
      </w:r>
    </w:p>
    <w:p>
      <w:pPr>
        <w:spacing w:after="280"/>
      </w:pPr>
      <w:r>
        <w:t xml:space="preserve"/>
      </w:r>
    </w:p>
    <w:p>
      <w:r>
        <w:br w:type="pag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Founder-CEO Succession Framework</w:t>
      </w:r>
    </w:p>
    <w:p>
      <w:pPr>
        <w:spacing w:after="160"/>
      </w:pPr>
      <w:r>
        <w:rPr>
          <w:rFonts w:ascii="Calibri" w:cs="Calibri" w:eastAsia="Calibri" w:hAnsi="Calibri"/>
          <w:i/>
          <w:iCs/>
          <w:color w:val="6B6B6B"/>
          <w:sz w:val="18"/>
          <w:szCs w:val="18"/>
        </w:rPr>
        <w:t xml:space="preserve">Korogocho Logistics Group · Nominations Committee · Q1 2026 ·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The succession decision</w:t>
      </w:r>
    </w:p>
    <w:p>
      <w:pPr>
        <w:spacing w:after="200"/>
        <w:jc w:val="left"/>
      </w:pPr>
      <w:r>
        <w:rPr>
          <w:rFonts w:ascii="Calibri" w:cs="Calibri" w:eastAsia="Calibri" w:hAnsi="Calibri"/>
          <w:b w:val="false"/>
          <w:bCs w:val="false"/>
          <w:i w:val="false"/>
          <w:iCs w:val="false"/>
          <w:color w:val="2A1B1D"/>
          <w:sz w:val="22"/>
          <w:szCs w:val="22"/>
        </w:rPr>
        <w:t xml:space="preserve">Founder-CEO James Korogocho has led the company for fifteen years from inception to its current scale. The Nominations Committee, in consultation with the Board Chair and the Founder, has been working through succession scenarios over the last twelve months. This framework presents the Committee's preferred path and the rationale.</w:t>
      </w:r>
    </w:p>
    <w:p>
      <w:pPr>
        <w:pStyle w:val="Heading3"/>
        <w:spacing w:after="120" w:before="220"/>
      </w:pPr>
      <w:r>
        <w:rPr>
          <w:rFonts w:ascii="Calibri" w:cs="Calibri" w:eastAsia="Calibri" w:hAnsi="Calibri"/>
          <w:b/>
          <w:bCs/>
          <w:color w:val="2A1B1D"/>
          <w:sz w:val="22"/>
          <w:szCs w:val="22"/>
        </w:rPr>
        <w:t xml:space="preserve">Path C — the preferred path</w:t>
      </w:r>
    </w:p>
    <w:p>
      <w:pPr>
        <w:spacing w:after="200"/>
        <w:jc w:val="left"/>
      </w:pPr>
      <w:r>
        <w:rPr>
          <w:rFonts w:ascii="Calibri" w:cs="Calibri" w:eastAsia="Calibri" w:hAnsi="Calibri"/>
          <w:b w:val="false"/>
          <w:bCs w:val="false"/>
          <w:i w:val="false"/>
          <w:iCs w:val="false"/>
          <w:color w:val="2A1B1D"/>
          <w:sz w:val="22"/>
          <w:szCs w:val="22"/>
        </w:rPr>
        <w:t xml:space="preserve">The Founder transitions from Group CEO to Executive Chairman 18 months before the planned IPO listing date. An internal CEO successor — currently the Chief Operating Officer, who has been with the group for nine years — is appointed simultaneously. The Founder remains in an Executive Chairman role through IPO and for two years post-listing, then transitions to Non-Executive Chairman.</w:t>
      </w:r>
    </w:p>
    <w:p>
      <w:pPr>
        <w:spacing w:after="200"/>
        <w:jc w:val="left"/>
      </w:pPr>
      <w:r>
        <w:rPr>
          <w:rFonts w:ascii="Calibri" w:cs="Calibri" w:eastAsia="Calibri" w:hAnsi="Calibri"/>
          <w:b w:val="false"/>
          <w:bCs w:val="false"/>
          <w:i w:val="false"/>
          <w:iCs w:val="false"/>
          <w:color w:val="2A1B1D"/>
          <w:sz w:val="22"/>
          <w:szCs w:val="22"/>
        </w:rPr>
        <w:t xml:space="preserve">The rationale rests on four judgements. First, regional pre-IPO governance evidence supports clear succession in place 18-24 months pre-listing; valuation discounts of 8-15% have been observed for companies that list with founder-CEO ambiguity. Second, the COO has demonstrated the operational and strategic capacity required, and is known to the Board, the management team, and to key external relationships. Third, an external CEO recruitment would introduce execution risk in the IPO window — risk that exceeds the cost of internal continuity. Fourth, the Founder's continued presence as Executive Chairman through IPO preserves the relationships and credibility that have been built over fifteen years.</w:t>
      </w:r>
    </w:p>
    <w:p>
      <w:pPr>
        <w:pStyle w:val="Heading3"/>
        <w:spacing w:after="120" w:before="220"/>
      </w:pPr>
      <w:r>
        <w:rPr>
          <w:rFonts w:ascii="Calibri" w:cs="Calibri" w:eastAsia="Calibri" w:hAnsi="Calibri"/>
          <w:b/>
          <w:bCs/>
          <w:color w:val="2A1B1D"/>
          <w:sz w:val="22"/>
          <w:szCs w:val="22"/>
        </w:rPr>
        <w:t xml:space="preserve">The Founder's view</w:t>
      </w:r>
    </w:p>
    <w:p>
      <w:pPr>
        <w:spacing w:after="200"/>
        <w:jc w:val="left"/>
      </w:pPr>
      <w:r>
        <w:rPr>
          <w:rFonts w:ascii="Calibri" w:cs="Calibri" w:eastAsia="Calibri" w:hAnsi="Calibri"/>
          <w:b w:val="false"/>
          <w:bCs w:val="false"/>
          <w:i w:val="false"/>
          <w:iCs w:val="false"/>
          <w:color w:val="2A1B1D"/>
          <w:sz w:val="22"/>
          <w:szCs w:val="22"/>
        </w:rPr>
        <w:t xml:space="preserve">The Founder has been actively involved in the framework development and supports the Path C recommendation. His specific commitments: full delegation of operational and strategic decision-making to the new CEO from transition date; explicit role boundaries between Executive Chairman and CEO that respect the CEO's authority; transition support to the new CEO that includes joint client and investor engagements but does not extend to overriding CEO decisions. These commitments will be documented in the formal transition plan.</w:t>
      </w:r>
    </w:p>
    <w:p>
      <w:pPr>
        <w:pStyle w:val="Heading3"/>
        <w:spacing w:after="120" w:before="220"/>
      </w:pPr>
      <w:r>
        <w:rPr>
          <w:rFonts w:ascii="Calibri" w:cs="Calibri" w:eastAsia="Calibri" w:hAnsi="Calibri"/>
          <w:b/>
          <w:bCs/>
          <w:color w:val="2A1B1D"/>
          <w:sz w:val="22"/>
          <w:szCs w:val="22"/>
        </w:rPr>
        <w:t xml:space="preserve">The successor</w:t>
      </w:r>
    </w:p>
    <w:p>
      <w:pPr>
        <w:spacing w:after="200"/>
        <w:jc w:val="left"/>
      </w:pPr>
      <w:r>
        <w:rPr>
          <w:rFonts w:ascii="Calibri" w:cs="Calibri" w:eastAsia="Calibri" w:hAnsi="Calibri"/>
          <w:b w:val="false"/>
          <w:bCs w:val="false"/>
          <w:i w:val="false"/>
          <w:iCs w:val="false"/>
          <w:color w:val="2A1B1D"/>
          <w:sz w:val="22"/>
          <w:szCs w:val="22"/>
        </w:rPr>
        <w:t xml:space="preserve">The COO has accepted the succession nomination subject to Board endorsement. His own commitments: continued investment in his own development as CEO-of-a-listed-company specifically (Board observership at a peer listed company, executive coaching engagement, structured time with current Chairs of listed companies in the region). The COO's existing strategic alignment with the Founder reduces the strategy-discontinuity risk that is typical in succession transitions.</w:t>
      </w:r>
    </w:p>
    <w:p>
      <w:pPr>
        <w:pStyle w:val="Heading3"/>
        <w:spacing w:after="120" w:before="220"/>
      </w:pPr>
      <w:r>
        <w:rPr>
          <w:rFonts w:ascii="Calibri" w:cs="Calibri" w:eastAsia="Calibri" w:hAnsi="Calibri"/>
          <w:b/>
          <w:bCs/>
          <w:color w:val="2A1B1D"/>
          <w:sz w:val="22"/>
          <w:szCs w:val="22"/>
        </w:rPr>
        <w:t xml:space="preserve">The governance commitments</w:t>
      </w:r>
    </w:p>
    <w:p>
      <w:pPr>
        <w:spacing w:after="200"/>
        <w:jc w:val="left"/>
      </w:pPr>
      <w:r>
        <w:rPr>
          <w:rFonts w:ascii="Calibri" w:cs="Calibri" w:eastAsia="Calibri" w:hAnsi="Calibri"/>
          <w:b w:val="false"/>
          <w:bCs w:val="false"/>
          <w:i w:val="false"/>
          <w:iCs w:val="false"/>
          <w:color w:val="2A1B1D"/>
          <w:sz w:val="22"/>
          <w:szCs w:val="22"/>
        </w:rPr>
        <w:t xml:space="preserve">The Board commits to specific governance standards through the transition. Quarterly Board reviews of transition execution against the documented plan. Independent NED point-of-contact for the new CEO outside the Founder relationship. External pre-IPO governance review at the six-month mark to validate transition health from an external perspective. Right-of-recourse for the new CEO to escalate role-boundary concerns directly to the Chair of the Nominations Committee.</w:t>
      </w:r>
    </w:p>
    <w:p>
      <w:pPr>
        <w:pStyle w:val="Heading3"/>
        <w:spacing w:after="120" w:before="220"/>
      </w:pPr>
      <w:r>
        <w:rPr>
          <w:rFonts w:ascii="Calibri" w:cs="Calibri" w:eastAsia="Calibri" w:hAnsi="Calibri"/>
          <w:b/>
          <w:bCs/>
          <w:color w:val="2A1B1D"/>
          <w:sz w:val="22"/>
          <w:szCs w:val="22"/>
        </w:rPr>
        <w:t xml:space="preserve">Risks named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Founder role discipline post-transition. The Founder's commitment is explicit; the risk is its execution under operational pressure.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CEO development gap. The COO has demonstrated operational capacity but has not led a listed company; the development plan addresses this gap but cannot eliminate it.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External relationship continuity. Some key client and investor relationships are personal to the Founder; the transition plan must actively transfer these without disruption.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Talent retention through transition. Senior management may interpret the succession as a signal to consider their own next moves; the framework must include explicit retention dialogue with the senior team.</w:t>
      </w:r>
    </w:p>
    <w:p>
      <w:pPr>
        <w:pStyle w:val="Heading3"/>
        <w:spacing w:after="120" w:before="220"/>
      </w:pPr>
      <w:r>
        <w:rPr>
          <w:rFonts w:ascii="Calibri" w:cs="Calibri" w:eastAsia="Calibri" w:hAnsi="Calibri"/>
          <w:b/>
          <w:bCs/>
          <w:color w:val="2A1B1D"/>
          <w:sz w:val="22"/>
          <w:szCs w:val="22"/>
        </w:rPr>
        <w:t xml:space="preserve">Decision sought</w:t>
      </w:r>
    </w:p>
    <w:p>
      <w:pPr>
        <w:spacing w:after="200"/>
        <w:jc w:val="left"/>
      </w:pPr>
      <w:r>
        <w:rPr>
          <w:rFonts w:ascii="Calibri" w:cs="Calibri" w:eastAsia="Calibri" w:hAnsi="Calibri"/>
          <w:b w:val="false"/>
          <w:bCs w:val="false"/>
          <w:i w:val="false"/>
          <w:iCs w:val="false"/>
          <w:color w:val="2A1B1D"/>
          <w:sz w:val="22"/>
          <w:szCs w:val="22"/>
        </w:rPr>
        <w:t xml:space="preserve">Board endorsement of Path C, the Founder's commitments, the COO's nomination and development plan, and the governance commitments. Recommended Board decision in Q2 2026, transition execution to begin Q3 2026, completion at the IPO listing date.</w:t>
      </w:r>
    </w:p>
    <w:p>
      <w:pPr>
        <w:spacing w:after="280"/>
      </w:pPr>
      <w:r>
        <w:t xml:space="preserve"/>
      </w:r>
    </w:p>
    <w:p>
      <w:r>
        <w:br w:type="pag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Market Portfolio Strategy</w:t>
      </w:r>
    </w:p>
    <w:p>
      <w:pPr>
        <w:spacing w:after="160"/>
      </w:pPr>
      <w:r>
        <w:rPr>
          <w:rFonts w:ascii="Calibri" w:cs="Calibri" w:eastAsia="Calibri" w:hAnsi="Calibri"/>
          <w:i/>
          <w:iCs/>
          <w:color w:val="6B6B6B"/>
          <w:sz w:val="18"/>
          <w:szCs w:val="18"/>
        </w:rPr>
        <w:t xml:space="preserve">Korogocho Logistics Group · CCO Office · Q4 2025 · Strategy Day Material ·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The portfolio question</w:t>
      </w:r>
    </w:p>
    <w:p>
      <w:pPr>
        <w:spacing w:after="200"/>
        <w:jc w:val="left"/>
      </w:pPr>
      <w:r>
        <w:rPr>
          <w:rFonts w:ascii="Calibri" w:cs="Calibri" w:eastAsia="Calibri" w:hAnsi="Calibri"/>
          <w:b w:val="false"/>
          <w:bCs w:val="false"/>
          <w:i w:val="false"/>
          <w:iCs w:val="false"/>
          <w:color w:val="2A1B1D"/>
          <w:sz w:val="22"/>
          <w:szCs w:val="22"/>
        </w:rPr>
        <w:t xml:space="preserve">Korogocho operates in five markets — Kenya, Uganda, Tanzania, Rwanda, DRC — that produce different margin profiles, different operational complexity, different regulatory environments. The IPO prospectus will require a coherent narrative on portfolio strategy. This paper presents the strategy and the trade-offs.</w:t>
      </w:r>
    </w:p>
    <w:p>
      <w:pPr>
        <w:pStyle w:val="Heading3"/>
        <w:spacing w:after="120" w:before="220"/>
      </w:pPr>
      <w:r>
        <w:rPr>
          <w:rFonts w:ascii="Calibri" w:cs="Calibri" w:eastAsia="Calibri" w:hAnsi="Calibri"/>
          <w:b/>
          <w:bCs/>
          <w:color w:val="2A1B1D"/>
          <w:sz w:val="22"/>
          <w:szCs w:val="22"/>
        </w:rPr>
        <w:t xml:space="preserve">The five markets, structurally</w:t>
      </w:r>
    </w:p>
    <w:p>
      <w:pPr>
        <w:spacing w:after="200"/>
        <w:jc w:val="left"/>
      </w:pPr>
      <w:r>
        <w:rPr>
          <w:rFonts w:ascii="Calibri" w:cs="Calibri" w:eastAsia="Calibri" w:hAnsi="Calibri"/>
          <w:b w:val="false"/>
          <w:bCs w:val="false"/>
          <w:i w:val="false"/>
          <w:iCs w:val="false"/>
          <w:color w:val="2A1B1D"/>
          <w:sz w:val="22"/>
          <w:szCs w:val="22"/>
        </w:rPr>
        <w:t xml:space="preserve">Kenya — home market, anchor revenues, mature operations. Fleet utilisation 89%. EBITDA margin 11%. Strategic role: cash flow stability and credibility anchor.</w:t>
      </w:r>
    </w:p>
    <w:p>
      <w:pPr>
        <w:spacing w:after="200"/>
        <w:jc w:val="left"/>
      </w:pPr>
      <w:r>
        <w:rPr>
          <w:rFonts w:ascii="Calibri" w:cs="Calibri" w:eastAsia="Calibri" w:hAnsi="Calibri"/>
          <w:b w:val="false"/>
          <w:bCs w:val="false"/>
          <w:i w:val="false"/>
          <w:iCs w:val="false"/>
          <w:color w:val="2A1B1D"/>
          <w:sz w:val="22"/>
          <w:szCs w:val="22"/>
        </w:rPr>
        <w:t xml:space="preserve">Uganda — adjacent market, mature operations. Utilisation 82%. EBITDA margin 13%. Strategic role: regional integration with Kenya, hub for East African Community trade.</w:t>
      </w:r>
    </w:p>
    <w:p>
      <w:pPr>
        <w:spacing w:after="200"/>
        <w:jc w:val="left"/>
      </w:pPr>
      <w:r>
        <w:rPr>
          <w:rFonts w:ascii="Calibri" w:cs="Calibri" w:eastAsia="Calibri" w:hAnsi="Calibri"/>
          <w:b w:val="false"/>
          <w:bCs w:val="false"/>
          <w:i w:val="false"/>
          <w:iCs w:val="false"/>
          <w:color w:val="2A1B1D"/>
          <w:sz w:val="22"/>
          <w:szCs w:val="22"/>
        </w:rPr>
        <w:t xml:space="preserve">Tanzania — secondary regional market, mature operations, ongoing tax dispute. Utilisation 78%. EBITDA margin 12%. Strategic role: regional completeness, southern African gateway potential.</w:t>
      </w:r>
    </w:p>
    <w:p>
      <w:pPr>
        <w:spacing w:after="200"/>
        <w:jc w:val="left"/>
      </w:pPr>
      <w:r>
        <w:rPr>
          <w:rFonts w:ascii="Calibri" w:cs="Calibri" w:eastAsia="Calibri" w:hAnsi="Calibri"/>
          <w:b w:val="false"/>
          <w:bCs w:val="false"/>
          <w:i w:val="false"/>
          <w:iCs w:val="false"/>
          <w:color w:val="2A1B1D"/>
          <w:sz w:val="22"/>
          <w:szCs w:val="22"/>
        </w:rPr>
        <w:t xml:space="preserve">Rwanda — strategic frontier, smaller scale, strong operating environment. Utilisation 84%. EBITDA margin 15%. Strategic role: best-margin market per truck, foundation for further expansion into Burundi and eastern DRC.</w:t>
      </w:r>
    </w:p>
    <w:p>
      <w:pPr>
        <w:spacing w:after="200"/>
        <w:jc w:val="left"/>
      </w:pPr>
      <w:r>
        <w:rPr>
          <w:rFonts w:ascii="Calibri" w:cs="Calibri" w:eastAsia="Calibri" w:hAnsi="Calibri"/>
          <w:b w:val="false"/>
          <w:bCs w:val="false"/>
          <w:i w:val="false"/>
          <w:iCs w:val="false"/>
          <w:color w:val="2A1B1D"/>
          <w:sz w:val="22"/>
          <w:szCs w:val="22"/>
        </w:rPr>
        <w:t xml:space="preserve">DRC — highest-margin, highest-risk market. Utilisation 67%. EBITDA margin 22%. Strategic role: margin premium supports group EBITDA, but structural risk from political volatility, regulatory uncertainty, FX exposure.</w:t>
      </w:r>
    </w:p>
    <w:p>
      <w:pPr>
        <w:pStyle w:val="Heading3"/>
        <w:spacing w:after="120" w:before="220"/>
      </w:pPr>
      <w:r>
        <w:rPr>
          <w:rFonts w:ascii="Calibri" w:cs="Calibri" w:eastAsia="Calibri" w:hAnsi="Calibri"/>
          <w:b/>
          <w:bCs/>
          <w:color w:val="2A1B1D"/>
          <w:sz w:val="22"/>
          <w:szCs w:val="22"/>
        </w:rPr>
        <w:t xml:space="preserve">Strategic options for the portfolio</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Hold all five markets, pursue operational standardisation. Preserves the pan-African positioning. Accepts utilisation variance as strategic differentiation. Requires explicit prospectus narrative on DRC risk.</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Reduce DRC exposure, focus capital on Rwanda and Uganda expansion. Reduces structural risk but compromises the pan-African narrative and removes the EBITDA margin premium.</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Aggressive DRC expansion. Doubles down on the margin premium. Increases structural risk, requires capital that competes with Rwanda expansion, and would draw analyst attention to DRC concentration.</w:t>
      </w:r>
    </w:p>
    <w:p>
      <w:pPr>
        <w:pStyle w:val="Heading3"/>
        <w:spacing w:after="120" w:before="220"/>
      </w:pPr>
      <w:r>
        <w:rPr>
          <w:rFonts w:ascii="Calibri" w:cs="Calibri" w:eastAsia="Calibri" w:hAnsi="Calibri"/>
          <w:b/>
          <w:bCs/>
          <w:color w:val="2A1B1D"/>
          <w:sz w:val="22"/>
          <w:szCs w:val="22"/>
        </w:rPr>
        <w:t xml:space="preserve">CCO recommendation</w:t>
      </w:r>
    </w:p>
    <w:p>
      <w:pPr>
        <w:spacing w:after="200"/>
        <w:jc w:val="left"/>
      </w:pPr>
      <w:r>
        <w:rPr>
          <w:rFonts w:ascii="Calibri" w:cs="Calibri" w:eastAsia="Calibri" w:hAnsi="Calibri"/>
          <w:b w:val="false"/>
          <w:bCs w:val="false"/>
          <w:i w:val="false"/>
          <w:iCs w:val="false"/>
          <w:color w:val="2A1B1D"/>
          <w:sz w:val="22"/>
          <w:szCs w:val="22"/>
        </w:rPr>
        <w:t xml:space="preserve">Option 1 — hold all five markets, pursue operational standardisation. The pan-African positioning is the IPO's foundational story; reducing DRC undermines it without producing a sufficiently better risk profile to justify the trade-off. Aggressive DRC expansion adds operational risk in the IPO window and would shift the prospectus narrative away from disciplined regional logistics to opportunistic emerging-market exposure.</w:t>
      </w:r>
    </w:p>
    <w:p>
      <w:pPr>
        <w:pStyle w:val="Heading3"/>
        <w:spacing w:after="120" w:before="220"/>
      </w:pPr>
      <w:r>
        <w:rPr>
          <w:rFonts w:ascii="Calibri" w:cs="Calibri" w:eastAsia="Calibri" w:hAnsi="Calibri"/>
          <w:b/>
          <w:bCs/>
          <w:color w:val="2A1B1D"/>
          <w:sz w:val="22"/>
          <w:szCs w:val="22"/>
        </w:rPr>
        <w:t xml:space="preserve">The operational standardisation commitment</w:t>
      </w:r>
    </w:p>
    <w:p>
      <w:pPr>
        <w:spacing w:after="200"/>
        <w:jc w:val="left"/>
      </w:pPr>
      <w:r>
        <w:rPr>
          <w:rFonts w:ascii="Calibri" w:cs="Calibri" w:eastAsia="Calibri" w:hAnsi="Calibri"/>
          <w:b w:val="false"/>
          <w:bCs w:val="false"/>
          <w:i w:val="false"/>
          <w:iCs w:val="false"/>
          <w:color w:val="2A1B1D"/>
          <w:sz w:val="22"/>
          <w:szCs w:val="22"/>
        </w:rPr>
        <w:t xml:space="preserve">Holding all five markets requires a credible operational standardisation programme. The plan commits to: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Common fleet management platform across all markets by Q4 2026</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Common financial reporting standard at facility level, with monthly close cycles aligned by Q3 2026</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Common safety and operational compliance standards, audited group-wide quarterly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Group operating committee with country leads, meeting monthly, with explicit standardisation accountability</w:t>
      </w:r>
    </w:p>
    <w:p>
      <w:pPr>
        <w:pStyle w:val="Heading3"/>
        <w:spacing w:after="120" w:before="220"/>
      </w:pPr>
      <w:r>
        <w:rPr>
          <w:rFonts w:ascii="Calibri" w:cs="Calibri" w:eastAsia="Calibri" w:hAnsi="Calibri"/>
          <w:b/>
          <w:bCs/>
          <w:color w:val="2A1B1D"/>
          <w:sz w:val="22"/>
          <w:szCs w:val="22"/>
        </w:rPr>
        <w:t xml:space="preserve">The DRC commitment</w:t>
      </w:r>
    </w:p>
    <w:p>
      <w:pPr>
        <w:spacing w:after="200"/>
        <w:jc w:val="left"/>
      </w:pPr>
      <w:r>
        <w:rPr>
          <w:rFonts w:ascii="Calibri" w:cs="Calibri" w:eastAsia="Calibri" w:hAnsi="Calibri"/>
          <w:b w:val="false"/>
          <w:bCs w:val="false"/>
          <w:i w:val="false"/>
          <w:iCs w:val="false"/>
          <w:color w:val="2A1B1D"/>
          <w:sz w:val="22"/>
          <w:szCs w:val="22"/>
        </w:rPr>
        <w:t xml:space="preserve">Holding the DRC position requires explicit risk-management commitments. The plan commits to: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Quarterly DRC operating-environment review at Risk Committee with explicit exit-trigger framework</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FX exposure hedging for DRC revenues at minimum 60% on a rolling six-month basis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Regulatory engagement programme with DRC counterparts that maintains current operating status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Capital deployment cap on DRC at current levels until prospectus disclosure is finalised</w:t>
      </w:r>
    </w:p>
    <w:p>
      <w:pPr>
        <w:pStyle w:val="Heading3"/>
        <w:spacing w:after="120" w:before="220"/>
      </w:pPr>
      <w:r>
        <w:rPr>
          <w:rFonts w:ascii="Calibri" w:cs="Calibri" w:eastAsia="Calibri" w:hAnsi="Calibri"/>
          <w:b/>
          <w:bCs/>
          <w:color w:val="2A1B1D"/>
          <w:sz w:val="22"/>
          <w:szCs w:val="22"/>
        </w:rPr>
        <w:t xml:space="preserve">The IPO disclosure framework</w:t>
      </w:r>
    </w:p>
    <w:p>
      <w:pPr>
        <w:spacing w:after="200"/>
        <w:jc w:val="left"/>
      </w:pPr>
      <w:r>
        <w:rPr>
          <w:rFonts w:ascii="Calibri" w:cs="Calibri" w:eastAsia="Calibri" w:hAnsi="Calibri"/>
          <w:b w:val="false"/>
          <w:bCs w:val="false"/>
          <w:i w:val="false"/>
          <w:iCs w:val="false"/>
          <w:color w:val="2A1B1D"/>
          <w:sz w:val="22"/>
          <w:szCs w:val="22"/>
        </w:rPr>
        <w:t xml:space="preserve">Prospectus disclosure on the portfolio will present three views: group consolidated, segmented by market, and segmented by operating environment risk profile (mature vs frontier). All three views will be presented because analysts will reconstruct them; pretending the consolidated number is the story will be detected. The strategic narrative will explain the portfolio as deliberate disciplined regional logistics, not opportunistic emerging-market exposure.</w:t>
      </w:r>
    </w:p>
    <w:p>
      <w:pPr>
        <w:spacing w:after="280"/>
      </w:pPr>
      <w:r>
        <w:t xml:space="preserve"/>
      </w:r>
    </w:p>
    <w:p>
      <w:r>
        <w:br w:type="page"/>
      </w:r>
    </w:p>
    <w:p>
      <w:pPr>
        <w:spacing w:after="60"/>
      </w:pPr>
      <w:r>
        <w:rPr>
          <w:rFonts w:ascii="Calibri" w:cs="Calibri" w:eastAsia="Calibri" w:hAnsi="Calibri"/>
          <w:b/>
          <w:bCs/>
          <w:color w:val="C25A38"/>
          <w:spacing w:val="80"/>
          <w:sz w:val="16"/>
          <w:szCs w:val="16"/>
        </w:rPr>
        <w:t xml:space="preserve">TECHNOLOGY · STRATEGIC DOCUMENTS</w:t>
      </w:r>
    </w:p>
    <w:p>
      <w:pPr>
        <w:pStyle w:val="Heading1"/>
        <w:spacing w:after="220" w:before="440"/>
      </w:pPr>
      <w:r>
        <w:rPr>
          <w:rFonts w:ascii="Georgia" w:cs="Georgia" w:eastAsia="Georgia" w:hAnsi="Georgia"/>
          <w:b/>
          <w:bCs/>
          <w:color w:val="2A1B1D"/>
          <w:sz w:val="36"/>
          <w:szCs w:val="36"/>
        </w:rPr>
        <w:t xml:space="preserve">Tahidi Systems — Strategic Documents</w:t>
      </w:r>
    </w:p>
    <w:p>
      <w:pPr>
        <w:spacing w:after="200"/>
        <w:jc w:val="left"/>
      </w:pPr>
      <w:r>
        <w:rPr>
          <w:rFonts w:ascii="Calibri" w:cs="Calibri" w:eastAsia="Calibri" w:hAnsi="Calibri"/>
          <w:b w:val="false"/>
          <w:bCs w:val="false"/>
          <w:i w:val="false"/>
          <w:iCs w:val="false"/>
          <w:color w:val="2A1B1D"/>
          <w:sz w:val="22"/>
          <w:szCs w:val="22"/>
        </w:rPr>
        <w:t xml:space="preserve">Two strategic documents covering the original Series A investment thesis and the current Series B strategic positioning. Tahidi's situation is acute — TechBridge churn, runway compression — and the strategic context is what makes the situation interpretable. The Series A thesis is what was promised; the Series B paper is what's possible now.</w:t>
      </w:r>
    </w:p>
    <w:p>
      <w:pPr>
        <w:spacing w:after="280"/>
      </w:pPr>
      <w:r>
        <w:t xml:space="preserv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Series A Investment Thesis — Original Founding Document</w:t>
      </w:r>
    </w:p>
    <w:p>
      <w:pPr>
        <w:spacing w:after="160"/>
      </w:pPr>
      <w:r>
        <w:rPr>
          <w:rFonts w:ascii="Calibri" w:cs="Calibri" w:eastAsia="Calibri" w:hAnsi="Calibri"/>
          <w:i/>
          <w:iCs/>
          <w:color w:val="6B6B6B"/>
          <w:sz w:val="18"/>
          <w:szCs w:val="18"/>
        </w:rPr>
        <w:t xml:space="preserve">Tahidi Systems · For Series A close August 2025 · Original founder document · Preserved as strategic reference</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The market opportunity</w:t>
      </w:r>
    </w:p>
    <w:p>
      <w:pPr>
        <w:spacing w:after="200"/>
        <w:jc w:val="left"/>
      </w:pPr>
      <w:r>
        <w:rPr>
          <w:rFonts w:ascii="Calibri" w:cs="Calibri" w:eastAsia="Calibri" w:hAnsi="Calibri"/>
          <w:b w:val="false"/>
          <w:bCs w:val="false"/>
          <w:i w:val="false"/>
          <w:iCs w:val="false"/>
          <w:color w:val="2A1B1D"/>
          <w:sz w:val="22"/>
          <w:szCs w:val="22"/>
        </w:rPr>
        <w:t xml:space="preserve">Tahidi Systems addresses an underserved segment in African mid-market: wholesale and distribution businesses operating between $5M and $100M in annual revenue who manage their inventory, accounts, and customer relationships through a combination of WhatsApp, Excel, and accounting software designed for retailers. The segment is approximately 4,500 businesses across the three target markets (Kenya, Nigeria, South Africa), with addressable software spend per business of $8,000-25,000 annually. Total addressable market: approximately $80 million annually.</w:t>
      </w:r>
    </w:p>
    <w:p>
      <w:pPr>
        <w:pStyle w:val="Heading3"/>
        <w:spacing w:after="120" w:before="220"/>
      </w:pPr>
      <w:r>
        <w:rPr>
          <w:rFonts w:ascii="Calibri" w:cs="Calibri" w:eastAsia="Calibri" w:hAnsi="Calibri"/>
          <w:b/>
          <w:bCs/>
          <w:color w:val="2A1B1D"/>
          <w:sz w:val="22"/>
          <w:szCs w:val="22"/>
        </w:rPr>
        <w:t xml:space="preserve">The product thesis</w:t>
      </w:r>
    </w:p>
    <w:p>
      <w:pPr>
        <w:spacing w:after="200"/>
        <w:jc w:val="left"/>
      </w:pPr>
      <w:r>
        <w:rPr>
          <w:rFonts w:ascii="Calibri" w:cs="Calibri" w:eastAsia="Calibri" w:hAnsi="Calibri"/>
          <w:b w:val="false"/>
          <w:bCs w:val="false"/>
          <w:i w:val="false"/>
          <w:iCs w:val="false"/>
          <w:color w:val="2A1B1D"/>
          <w:sz w:val="22"/>
          <w:szCs w:val="22"/>
        </w:rPr>
        <w:t xml:space="preserve">Wholesalers and distributors are a coherent buyer segment with shared operational patterns — multi-product inventory, B2B customer credit relationships, route-based sales operations, regional pricing complexity. Generic ERP and CRM products serve them poorly; retail-focused products miss the wholesale dynamics; manufacturer-focused products miss the distribution complexity. A vertical-focused product designed for this segment can capture the segment within a defined window before generic products mature their wholesale-distributor offerings.</w:t>
      </w:r>
    </w:p>
    <w:p>
      <w:pPr>
        <w:pStyle w:val="Heading3"/>
        <w:spacing w:after="120" w:before="220"/>
      </w:pPr>
      <w:r>
        <w:rPr>
          <w:rFonts w:ascii="Calibri" w:cs="Calibri" w:eastAsia="Calibri" w:hAnsi="Calibri"/>
          <w:b/>
          <w:bCs/>
          <w:color w:val="2A1B1D"/>
          <w:sz w:val="22"/>
          <w:szCs w:val="22"/>
        </w:rPr>
        <w:t xml:space="preserve">The market entry strategy</w:t>
      </w:r>
    </w:p>
    <w:p>
      <w:pPr>
        <w:spacing w:after="200"/>
        <w:jc w:val="left"/>
      </w:pPr>
      <w:r>
        <w:rPr>
          <w:rFonts w:ascii="Calibri" w:cs="Calibri" w:eastAsia="Calibri" w:hAnsi="Calibri"/>
          <w:b w:val="false"/>
          <w:bCs w:val="false"/>
          <w:i w:val="false"/>
          <w:iCs w:val="false"/>
          <w:color w:val="2A1B1D"/>
          <w:sz w:val="22"/>
          <w:szCs w:val="22"/>
        </w:rPr>
        <w:t xml:space="preserve">Series A funding ($12M) supports execution against four specific commitments: 200 paying customers by month 18, ARR of $9.5M by FY26 (Year 2 post-Series A), expansion into a fourth market by month 24, and Series B readiness by Q3 2026 with NRR above 120% sustained. The thesis assumes that the wholesale-distribution segment, once captured, has high retention and strong expansion characteristics — wholesalers grow into distributors, distributors expand product lines, both expand geographically.</w:t>
      </w:r>
    </w:p>
    <w:p>
      <w:pPr>
        <w:pStyle w:val="Heading3"/>
        <w:spacing w:after="120" w:before="220"/>
      </w:pPr>
      <w:r>
        <w:rPr>
          <w:rFonts w:ascii="Calibri" w:cs="Calibri" w:eastAsia="Calibri" w:hAnsi="Calibri"/>
          <w:b/>
          <w:bCs/>
          <w:color w:val="2A1B1D"/>
          <w:sz w:val="22"/>
          <w:szCs w:val="22"/>
        </w:rPr>
        <w:t xml:space="preserve">The competitive thesis</w:t>
      </w:r>
    </w:p>
    <w:p>
      <w:pPr>
        <w:spacing w:after="200"/>
        <w:jc w:val="left"/>
      </w:pPr>
      <w:r>
        <w:rPr>
          <w:rFonts w:ascii="Calibri" w:cs="Calibri" w:eastAsia="Calibri" w:hAnsi="Calibri"/>
          <w:b w:val="false"/>
          <w:bCs w:val="false"/>
          <w:i w:val="false"/>
          <w:iCs w:val="false"/>
          <w:color w:val="2A1B1D"/>
          <w:sz w:val="22"/>
          <w:szCs w:val="22"/>
        </w:rPr>
        <w:t xml:space="preserve">Three competitive risks are named in the original thesis. First, large global ERP players (SAP, Oracle, NetSuite) extending downmarket. Mitigation: pricing structure and implementation simplicity that those products cannot match. Second, generic regional B2B SaaS players adding wholesale-distribution modules. Mitigation: vertical depth and customer references that generic players cannot match. Third, locally-funded competitors with similar vertical focus. Mitigation: speed of market capture and the vertical-network effects of being the embedded system.</w:t>
      </w:r>
    </w:p>
    <w:p>
      <w:pPr>
        <w:pStyle w:val="Heading3"/>
        <w:spacing w:after="120" w:before="220"/>
      </w:pPr>
      <w:r>
        <w:rPr>
          <w:rFonts w:ascii="Calibri" w:cs="Calibri" w:eastAsia="Calibri" w:hAnsi="Calibri"/>
          <w:b/>
          <w:bCs/>
          <w:color w:val="2A1B1D"/>
          <w:sz w:val="22"/>
          <w:szCs w:val="22"/>
        </w:rPr>
        <w:t xml:space="preserve">Key assumptions documented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Customer concentration risk manageable: no customer above 8% of ARR after Year 1</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CAC steady-state: $9,000 fully loaded, with payback period of 14 months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NRR sustained at 118-125% through expansion ARR within existing customers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Gross margin: 78% sustained at scale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Series B at Q3 2026 with $20-30M raise at 5-7× ARR multiple</w:t>
      </w:r>
    </w:p>
    <w:p>
      <w:pPr>
        <w:pStyle w:val="Heading3"/>
        <w:spacing w:after="120" w:before="220"/>
      </w:pPr>
      <w:r>
        <w:rPr>
          <w:rFonts w:ascii="Calibri" w:cs="Calibri" w:eastAsia="Calibri" w:hAnsi="Calibri"/>
          <w:b/>
          <w:bCs/>
          <w:color w:val="2A1B1D"/>
          <w:sz w:val="22"/>
          <w:szCs w:val="22"/>
        </w:rPr>
        <w:t xml:space="preserve">The honest framing</w:t>
      </w:r>
    </w:p>
    <w:p>
      <w:pPr>
        <w:spacing w:after="200"/>
        <w:jc w:val="left"/>
      </w:pPr>
      <w:r>
        <w:rPr>
          <w:rFonts w:ascii="Calibri" w:cs="Calibri" w:eastAsia="Calibri" w:hAnsi="Calibri"/>
          <w:b w:val="false"/>
          <w:bCs w:val="false"/>
          <w:i w:val="false"/>
          <w:iCs w:val="false"/>
          <w:color w:val="2A1B1D"/>
          <w:sz w:val="22"/>
          <w:szCs w:val="22"/>
        </w:rPr>
        <w:t xml:space="preserve">This thesis was approved by the Board in August 2025. It is preserved as the foundational strategic reference because the Board recognises that the thesis itself — including its assumptions and its competitive logic — must be evaluated honestly as the company encounters reality. Strategic reviews against this thesis are scheduled at six-month intervals. Material divergence from the documented assumptions triggers a board-level strategic discussion, not a quiet target adjustment.</w:t>
      </w:r>
    </w:p>
    <w:p>
      <w:pPr>
        <w:spacing w:after="280"/>
      </w:pPr>
      <w:r>
        <w:t xml:space="preserve"/>
      </w:r>
    </w:p>
    <w:p>
      <w:r>
        <w:br w:type="pag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Series B Strategic Positioning Paper</w:t>
      </w:r>
    </w:p>
    <w:p>
      <w:pPr>
        <w:spacing w:after="160"/>
      </w:pPr>
      <w:r>
        <w:rPr>
          <w:rFonts w:ascii="Calibri" w:cs="Calibri" w:eastAsia="Calibri" w:hAnsi="Calibri"/>
          <w:i/>
          <w:iCs/>
          <w:color w:val="6B6B6B"/>
          <w:sz w:val="18"/>
          <w:szCs w:val="18"/>
        </w:rPr>
        <w:t xml:space="preserve">Tahidi Systems · Founder Office · April 2026 · For Series A investor consultation · Highly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Why this paper now</w:t>
      </w:r>
    </w:p>
    <w:p>
      <w:pPr>
        <w:spacing w:after="200"/>
        <w:jc w:val="left"/>
      </w:pPr>
      <w:r>
        <w:rPr>
          <w:rFonts w:ascii="Calibri" w:cs="Calibri" w:eastAsia="Calibri" w:hAnsi="Calibri"/>
          <w:b w:val="false"/>
          <w:bCs w:val="false"/>
          <w:i w:val="false"/>
          <w:iCs w:val="false"/>
          <w:color w:val="2A1B1D"/>
          <w:sz w:val="22"/>
          <w:szCs w:val="22"/>
        </w:rPr>
        <w:t xml:space="preserve">The Series A investment thesis was approved in August 2025. Twenty months in, Tahidi has not converged with the thesis on three of its five documented assumptions. TechBridge — at 11% of ARR — churned in November 2025, breaking the customer concentration assumption. CAC has risen from $8K to $14K, breaking the CAC assumption. NRR has compressed from 118% to 102%, breaking the NRR assumption. Series A investors have requested strategic options paper before the next board meeting. This paper is the founder's honest framing — not the version that preserves the original narrative.</w:t>
      </w:r>
    </w:p>
    <w:p>
      <w:pPr>
        <w:pStyle w:val="Heading3"/>
        <w:spacing w:after="120" w:before="220"/>
      </w:pPr>
      <w:r>
        <w:rPr>
          <w:rFonts w:ascii="Calibri" w:cs="Calibri" w:eastAsia="Calibri" w:hAnsi="Calibri"/>
          <w:b/>
          <w:bCs/>
          <w:color w:val="2A1B1D"/>
          <w:sz w:val="22"/>
          <w:szCs w:val="22"/>
        </w:rPr>
        <w:t xml:space="preserve">What's actually true</w:t>
      </w:r>
    </w:p>
    <w:p>
      <w:pPr>
        <w:spacing w:after="200"/>
        <w:jc w:val="left"/>
      </w:pPr>
      <w:r>
        <w:rPr>
          <w:rFonts w:ascii="Calibri" w:cs="Calibri" w:eastAsia="Calibri" w:hAnsi="Calibri"/>
          <w:b w:val="false"/>
          <w:bCs w:val="false"/>
          <w:i w:val="false"/>
          <w:iCs w:val="false"/>
          <w:color w:val="2A1B1D"/>
          <w:sz w:val="22"/>
          <w:szCs w:val="22"/>
        </w:rPr>
        <w:t xml:space="preserve">First, the wholesale-distribution market opportunity remains real. The 4,500-business addressable market estimate has been validated; the willingness-to-pay assumption has been validated; the segment's coherence as a buyer audience has been validated. The market thesis is intact.</w:t>
      </w:r>
    </w:p>
    <w:p>
      <w:pPr>
        <w:spacing w:after="200"/>
        <w:jc w:val="left"/>
      </w:pPr>
      <w:r>
        <w:rPr>
          <w:rFonts w:ascii="Calibri" w:cs="Calibri" w:eastAsia="Calibri" w:hAnsi="Calibri"/>
          <w:b w:val="false"/>
          <w:bCs w:val="false"/>
          <w:i w:val="false"/>
          <w:iCs w:val="false"/>
          <w:color w:val="2A1B1D"/>
          <w:sz w:val="22"/>
          <w:szCs w:val="22"/>
        </w:rPr>
        <w:t xml:space="preserve">Second, Tahidi's product is genuinely better-fit than alternatives for the segment. Customer satisfaction scores, gross retention numbers (excluding TechBridge), and expansion within retained customers all support the product thesis.</w:t>
      </w:r>
    </w:p>
    <w:p>
      <w:pPr>
        <w:spacing w:after="200"/>
        <w:jc w:val="left"/>
      </w:pPr>
      <w:r>
        <w:rPr>
          <w:rFonts w:ascii="Calibri" w:cs="Calibri" w:eastAsia="Calibri" w:hAnsi="Calibri"/>
          <w:b w:val="false"/>
          <w:bCs w:val="false"/>
          <w:i w:val="false"/>
          <w:iCs w:val="false"/>
          <w:color w:val="2A1B1D"/>
          <w:sz w:val="22"/>
          <w:szCs w:val="22"/>
        </w:rPr>
        <w:t xml:space="preserve">Third, the go-to-market motion is broken. The CAC inflation reflects a sales process designed for the early-customer profile that has not adapted as the company moved beyond the first 50 customers. The NRR compression reflects expansion ARR motion that depends too heavily on individual sales relationships that did not transfer when sales personnel transitioned.</w:t>
      </w:r>
    </w:p>
    <w:p>
      <w:pPr>
        <w:spacing w:after="200"/>
        <w:jc w:val="left"/>
      </w:pPr>
      <w:r>
        <w:rPr>
          <w:rFonts w:ascii="Calibri" w:cs="Calibri" w:eastAsia="Calibri" w:hAnsi="Calibri"/>
          <w:b w:val="false"/>
          <w:bCs w:val="false"/>
          <w:i w:val="false"/>
          <w:iCs w:val="false"/>
          <w:color w:val="2A1B1D"/>
          <w:sz w:val="22"/>
          <w:szCs w:val="22"/>
        </w:rPr>
        <w:t xml:space="preserve">Fourth, the customer concentration risk was understated. TechBridge was the lighthouse customer that defined the Series A pitch; losing them was foreseeable as a structural risk and was not adequately hedged.</w:t>
      </w:r>
    </w:p>
    <w:p>
      <w:pPr>
        <w:pStyle w:val="Heading3"/>
        <w:spacing w:after="120" w:before="220"/>
      </w:pPr>
      <w:r>
        <w:rPr>
          <w:rFonts w:ascii="Calibri" w:cs="Calibri" w:eastAsia="Calibri" w:hAnsi="Calibri"/>
          <w:b/>
          <w:bCs/>
          <w:color w:val="2A1B1D"/>
          <w:sz w:val="22"/>
          <w:szCs w:val="22"/>
        </w:rPr>
        <w:t xml:space="preserve">Three options for Series B</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Maintain growth thesis, accept Series B as bridge round at lower valuation, focus on NRR recovery. The original story, recalibrated. Targets: $9.5M ARR by FY26, NRR back to 110%+ by Q4 2026, Series B at $4-5× ARR multiple. Implication: investors who supported the original thesis can support the recalibration; new investors will discount. Required raise: $15-18M to reach Series C economics.</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Pivot to product-led growth motion to reduce CAC, defer Series B by 6-9 months, accept slower top-line. The honest story, larger restructure. Targets: rebuild CAC to $9K, accept ARR growth at 30-40% rather than 60%+, raise Series B in late 2026 at improved unit economics. Implication: requires harder operational changes — sales reorganisation, product changes for self-serve, channel partnerships. Required raise: $12-15M with more runway.</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Strategic conversation with two known acquirers in the space. Acqui-hire framing at floor of pre-money. Implication: Series A investors recover 1.0-1.5× return, founders and team have continuity, original thesis is closed. This is the option no one wants to be the first to name; the founder believes it must be on the table for the Board's evaluation to be honest.</w:t>
      </w:r>
    </w:p>
    <w:p>
      <w:pPr>
        <w:pStyle w:val="Heading3"/>
        <w:spacing w:after="120" w:before="220"/>
      </w:pPr>
      <w:r>
        <w:rPr>
          <w:rFonts w:ascii="Calibri" w:cs="Calibri" w:eastAsia="Calibri" w:hAnsi="Calibri"/>
          <w:b/>
          <w:bCs/>
          <w:color w:val="2A1B1D"/>
          <w:sz w:val="22"/>
          <w:szCs w:val="22"/>
        </w:rPr>
        <w:t xml:space="preserve">The founder's view</w:t>
      </w:r>
    </w:p>
    <w:p>
      <w:pPr>
        <w:spacing w:after="200"/>
        <w:jc w:val="left"/>
      </w:pPr>
      <w:r>
        <w:rPr>
          <w:rFonts w:ascii="Calibri" w:cs="Calibri" w:eastAsia="Calibri" w:hAnsi="Calibri"/>
          <w:b w:val="false"/>
          <w:bCs w:val="false"/>
          <w:i w:val="false"/>
          <w:iCs w:val="false"/>
          <w:color w:val="2A1B1D"/>
          <w:sz w:val="22"/>
          <w:szCs w:val="22"/>
        </w:rPr>
        <w:t xml:space="preserve">The founder believes Option 2 is the right path — the unit economics fix is foundational; trying to grow through them is the strategic error that converts a recoverable situation into an unrecoverable one. Option 1's framing depends on NRR recovery within two quarters, and the founder cannot honestly model the cohort dynamics that produce that recovery without assumptions the data does not support. Option 3 is the explicit fallback if Series A investors cannot align on Option 2's slower trajectory.</w:t>
      </w:r>
    </w:p>
    <w:p>
      <w:pPr>
        <w:pStyle w:val="Heading3"/>
        <w:spacing w:after="120" w:before="220"/>
      </w:pPr>
      <w:r>
        <w:rPr>
          <w:rFonts w:ascii="Calibri" w:cs="Calibri" w:eastAsia="Calibri" w:hAnsi="Calibri"/>
          <w:b/>
          <w:bCs/>
          <w:color w:val="2A1B1D"/>
          <w:sz w:val="22"/>
          <w:szCs w:val="22"/>
        </w:rPr>
        <w:t xml:space="preserve">What the founder is asking the Board</w:t>
      </w:r>
    </w:p>
    <w:p>
      <w:pPr>
        <w:spacing w:after="200"/>
        <w:jc w:val="left"/>
      </w:pPr>
      <w:r>
        <w:rPr>
          <w:rFonts w:ascii="Calibri" w:cs="Calibri" w:eastAsia="Calibri" w:hAnsi="Calibri"/>
          <w:b w:val="false"/>
          <w:bCs w:val="false"/>
          <w:i w:val="false"/>
          <w:iCs w:val="false"/>
          <w:color w:val="2A1B1D"/>
          <w:sz w:val="22"/>
          <w:szCs w:val="22"/>
        </w:rPr>
        <w:t xml:space="preserve">First, honest evaluation of all three options on their merits — not a return to the Option 1 narrative because it is the most comfortable. Second, alignment on the binding constraint: the question is not which option preserves the original thesis (none do fully), but which option produces the best outcome for Tahidi's customers, team, and investors given current reality. Third, governance commitment that the option chosen will be explained to all stakeholders honestly — no quiet target adjustment, no narrative gymnastics, no presenting Option 1 as if the original assumptions were intact.</w:t>
      </w:r>
    </w:p>
    <w:p>
      <w:pPr>
        <w:pStyle w:val="Heading3"/>
        <w:spacing w:after="120" w:before="220"/>
      </w:pPr>
      <w:r>
        <w:rPr>
          <w:rFonts w:ascii="Calibri" w:cs="Calibri" w:eastAsia="Calibri" w:hAnsi="Calibri"/>
          <w:b/>
          <w:bCs/>
          <w:color w:val="2A1B1D"/>
          <w:sz w:val="22"/>
          <w:szCs w:val="22"/>
        </w:rPr>
        <w:t xml:space="preserve">What this paper does not yet do</w:t>
      </w:r>
    </w:p>
    <w:p>
      <w:pPr>
        <w:spacing w:after="200"/>
        <w:jc w:val="left"/>
      </w:pPr>
      <w:r>
        <w:rPr>
          <w:rFonts w:ascii="Calibri" w:cs="Calibri" w:eastAsia="Calibri" w:hAnsi="Calibri"/>
          <w:b w:val="false"/>
          <w:bCs w:val="false"/>
          <w:i w:val="false"/>
          <w:iCs w:val="false"/>
          <w:color w:val="2A1B1D"/>
          <w:sz w:val="22"/>
          <w:szCs w:val="22"/>
        </w:rPr>
        <w:t xml:space="preserve">This paper does not contain the operational plan for Option 2. The founder has chosen to bring the strategic question to the Board first, before committing to operational detail that would prejudice Board deliberation. If the Board endorses Option 2 in principle, the operational plan — sales reorganisation, product changes, channel strategy — will be developed and brought back within thirty days.</w:t>
      </w:r>
    </w:p>
    <w:p>
      <w:pPr>
        <w:spacing w:after="280"/>
      </w:pPr>
      <w:r>
        <w:t xml:space="preserve"/>
      </w:r>
    </w:p>
    <w:p>
      <w:r>
        <w:br w:type="page"/>
      </w:r>
    </w:p>
    <w:p>
      <w:pPr>
        <w:spacing w:after="60"/>
      </w:pPr>
      <w:r>
        <w:rPr>
          <w:rFonts w:ascii="Calibri" w:cs="Calibri" w:eastAsia="Calibri" w:hAnsi="Calibri"/>
          <w:b/>
          <w:bCs/>
          <w:color w:val="C25A38"/>
          <w:spacing w:val="80"/>
          <w:sz w:val="16"/>
          <w:szCs w:val="16"/>
        </w:rPr>
        <w:t xml:space="preserve">GOVERNMENT · STRATEGIC DOCUMENTS</w:t>
      </w:r>
    </w:p>
    <w:p>
      <w:pPr>
        <w:pStyle w:val="Heading1"/>
        <w:spacing w:after="220" w:before="440"/>
      </w:pPr>
      <w:r>
        <w:rPr>
          <w:rFonts w:ascii="Georgia" w:cs="Georgia" w:eastAsia="Georgia" w:hAnsi="Georgia"/>
          <w:b/>
          <w:bCs/>
          <w:color w:val="2A1B1D"/>
          <w:sz w:val="36"/>
          <w:szCs w:val="36"/>
        </w:rPr>
        <w:t xml:space="preserve">Ministry of Industrial Modernisation — Strategic Documents</w:t>
      </w:r>
    </w:p>
    <w:p>
      <w:pPr>
        <w:spacing w:after="200"/>
        <w:jc w:val="left"/>
      </w:pPr>
      <w:r>
        <w:rPr>
          <w:rFonts w:ascii="Calibri" w:cs="Calibri" w:eastAsia="Calibri" w:hAnsi="Calibri"/>
          <w:b w:val="false"/>
          <w:bCs w:val="false"/>
          <w:i w:val="false"/>
          <w:iCs w:val="false"/>
          <w:color w:val="2A1B1D"/>
          <w:sz w:val="22"/>
          <w:szCs w:val="22"/>
        </w:rPr>
        <w:t xml:space="preserve">Three strategic documents covering the sector strategic plan, the flagship programme's theory of change, and a political-economy assessment. The Ministry's strategic context is denser than the other contexts because public sector strategy operates across electoral cycles, fiscal cycles, donor cycles, and legislative cycles simultaneously.</w:t>
      </w:r>
    </w:p>
    <w:p>
      <w:pPr>
        <w:spacing w:after="280"/>
      </w:pPr>
      <w:r>
        <w:t xml:space="preserv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Sector Strategic Plan 2024-2029 — Industrial Modernisation</w:t>
      </w:r>
    </w:p>
    <w:p>
      <w:pPr>
        <w:spacing w:after="160"/>
      </w:pPr>
      <w:r>
        <w:rPr>
          <w:rFonts w:ascii="Calibri" w:cs="Calibri" w:eastAsia="Calibri" w:hAnsi="Calibri"/>
          <w:i/>
          <w:iCs/>
          <w:color w:val="6B6B6B"/>
          <w:sz w:val="18"/>
          <w:szCs w:val="18"/>
        </w:rPr>
        <w:t xml:space="preserve">Ministry of Industrial Modernisation · Sessional Paper No. X of 2024 · Cabinet endorsed · Public</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The sector context</w:t>
      </w:r>
    </w:p>
    <w:p>
      <w:pPr>
        <w:spacing w:after="200"/>
        <w:jc w:val="left"/>
      </w:pPr>
      <w:r>
        <w:rPr>
          <w:rFonts w:ascii="Calibri" w:cs="Calibri" w:eastAsia="Calibri" w:hAnsi="Calibri"/>
          <w:b w:val="false"/>
          <w:bCs w:val="false"/>
          <w:i w:val="false"/>
          <w:iCs w:val="false"/>
          <w:color w:val="2A1B1D"/>
          <w:sz w:val="22"/>
          <w:szCs w:val="22"/>
        </w:rPr>
        <w:t xml:space="preserve">Kenya's industrial sector contributes approximately 7.4% of GDP, against the 14% target set in the Vision 2030 framework and reaffirmed in the Bottom-Up Economic Transformation Agenda. The gap — and the trajectory toward closing it — is the central strategic question the Ministry exists to address. The Sector Strategic Plan 2024-2029 is the framework for the current planning cycle.</w:t>
      </w:r>
    </w:p>
    <w:p>
      <w:pPr>
        <w:pStyle w:val="Heading3"/>
        <w:spacing w:after="120" w:before="220"/>
      </w:pPr>
      <w:r>
        <w:rPr>
          <w:rFonts w:ascii="Calibri" w:cs="Calibri" w:eastAsia="Calibri" w:hAnsi="Calibri"/>
          <w:b/>
          <w:bCs/>
          <w:color w:val="2A1B1D"/>
          <w:sz w:val="22"/>
          <w:szCs w:val="22"/>
        </w:rPr>
        <w:t xml:space="preserve">The strategic objectives</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Increase industrial sector contribution to GDP from 7.4% to 11% by FY 2029 — a trajectory that puts the 14% Vision 2030 target within reach in subsequent planning cycles.</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Triple manufactured exports from $480 million annually to $1.5 billion by FY 2029, with explicit emphasis on agro-processing, light manufacturing, and pharmaceutical sectors aligned with regional and continental free trade frameworks.</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Establish six county-anchored industrial parks under the Industrial Modernisation Programme, with measurable employment, output, and regional economic linkage outcomes by FY 2029.</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Integrate the industrial sector into the regional economic architecture — EAC, COMESA, AfCFTA — through coordinated trade facilitation, standards harmonisation, and infrastructure investment.</w:t>
      </w:r>
    </w:p>
    <w:p>
      <w:pPr>
        <w:pStyle w:val="Heading3"/>
        <w:spacing w:after="120" w:before="220"/>
      </w:pPr>
      <w:r>
        <w:rPr>
          <w:rFonts w:ascii="Calibri" w:cs="Calibri" w:eastAsia="Calibri" w:hAnsi="Calibri"/>
          <w:b/>
          <w:bCs/>
          <w:color w:val="2A1B1D"/>
          <w:sz w:val="22"/>
          <w:szCs w:val="22"/>
        </w:rPr>
        <w:t xml:space="preserve">The strategic interventions</w:t>
      </w:r>
    </w:p>
    <w:p>
      <w:pPr>
        <w:spacing w:after="200"/>
        <w:jc w:val="left"/>
      </w:pPr>
      <w:r>
        <w:rPr>
          <w:rFonts w:ascii="Calibri" w:cs="Calibri" w:eastAsia="Calibri" w:hAnsi="Calibri"/>
          <w:b w:val="false"/>
          <w:bCs w:val="false"/>
          <w:i w:val="false"/>
          <w:iCs w:val="false"/>
          <w:color w:val="2A1B1D"/>
          <w:sz w:val="22"/>
          <w:szCs w:val="22"/>
        </w:rPr>
        <w:t xml:space="preserve">Four interventions form the backbone of the strategy. The flagship Industrial Modernisation Programme — county-anchored industrial parks with infrastructure, finance, capacity-building components. The Manufacturing Competitiveness Initiative — addressing energy costs, regulatory burden, and workforce skills. The Trade Facilitation Programme — coordinated with KRA, KEBS, and counterparty agencies in trading partner countries. The Pharmaceutical Manufacturing Strategy — leveraging the policy window opened by AfCFTA.</w:t>
      </w:r>
    </w:p>
    <w:p>
      <w:pPr>
        <w:pStyle w:val="Heading3"/>
        <w:spacing w:after="120" w:before="220"/>
      </w:pPr>
      <w:r>
        <w:rPr>
          <w:rFonts w:ascii="Calibri" w:cs="Calibri" w:eastAsia="Calibri" w:hAnsi="Calibri"/>
          <w:b/>
          <w:bCs/>
          <w:color w:val="2A1B1D"/>
          <w:sz w:val="22"/>
          <w:szCs w:val="22"/>
        </w:rPr>
        <w:t xml:space="preserve">The fiscal envelope</w:t>
      </w:r>
    </w:p>
    <w:p>
      <w:pPr>
        <w:spacing w:after="200"/>
        <w:jc w:val="left"/>
      </w:pPr>
      <w:r>
        <w:rPr>
          <w:rFonts w:ascii="Calibri" w:cs="Calibri" w:eastAsia="Calibri" w:hAnsi="Calibri"/>
          <w:b w:val="false"/>
          <w:bCs w:val="false"/>
          <w:i w:val="false"/>
          <w:iCs w:val="false"/>
          <w:color w:val="2A1B1D"/>
          <w:sz w:val="22"/>
          <w:szCs w:val="22"/>
        </w:rPr>
        <w:t xml:space="preserve">The strategic plan was costed at approximately KES 24 billion across the five-year period, with funding from a combination of national appropriation (60%), donor partnerships (28%), and private sector co-investment (12%). The fiscal envelope was developed in coordination with Treasury under the FY24-25 Budget Policy Statement framework.</w:t>
      </w:r>
    </w:p>
    <w:p>
      <w:pPr>
        <w:pStyle w:val="Heading3"/>
        <w:spacing w:after="120" w:before="220"/>
      </w:pPr>
      <w:r>
        <w:rPr>
          <w:rFonts w:ascii="Calibri" w:cs="Calibri" w:eastAsia="Calibri" w:hAnsi="Calibri"/>
          <w:b/>
          <w:bCs/>
          <w:color w:val="2A1B1D"/>
          <w:sz w:val="22"/>
          <w:szCs w:val="22"/>
        </w:rPr>
        <w:t xml:space="preserve">The strategic risks</w:t>
      </w:r>
    </w:p>
    <w:p>
      <w:pPr>
        <w:spacing w:after="200"/>
        <w:jc w:val="left"/>
      </w:pPr>
      <w:r>
        <w:rPr>
          <w:rFonts w:ascii="Calibri" w:cs="Calibri" w:eastAsia="Calibri" w:hAnsi="Calibri"/>
          <w:b w:val="false"/>
          <w:bCs w:val="false"/>
          <w:i w:val="false"/>
          <w:iCs w:val="false"/>
          <w:color w:val="2A1B1D"/>
          <w:sz w:val="22"/>
          <w:szCs w:val="22"/>
        </w:rPr>
        <w:t xml:space="preserve">Four risks were named at strategic plan endorsement. Fiscal consolidation risk — that macro-fiscal pressures would compress the appropriation envelope. This risk has materialised: the FY26-27 ceiling is below the strategic plan trajectory. County implementation capacity risk — that variation across counties would compromise programme outcomes. This risk has materialised: eleven of seventeen counties are below target. Donor commitment realignment risk — that donor priorities would shift away from industrial development. This risk is partially materialising. Political continuity risk — that strategic direction would shift with electoral cycles. This risk remains latent.</w:t>
      </w:r>
    </w:p>
    <w:p>
      <w:pPr>
        <w:pStyle w:val="Heading3"/>
        <w:spacing w:after="120" w:before="220"/>
      </w:pPr>
      <w:r>
        <w:rPr>
          <w:rFonts w:ascii="Calibri" w:cs="Calibri" w:eastAsia="Calibri" w:hAnsi="Calibri"/>
          <w:b/>
          <w:bCs/>
          <w:color w:val="2A1B1D"/>
          <w:sz w:val="22"/>
          <w:szCs w:val="22"/>
        </w:rPr>
        <w:t xml:space="preserve">The strategic question for Q1 2026</w:t>
      </w:r>
    </w:p>
    <w:p>
      <w:pPr>
        <w:spacing w:after="200"/>
        <w:jc w:val="left"/>
      </w:pPr>
      <w:r>
        <w:rPr>
          <w:rFonts w:ascii="Calibri" w:cs="Calibri" w:eastAsia="Calibri" w:hAnsi="Calibri"/>
          <w:b w:val="false"/>
          <w:bCs w:val="false"/>
          <w:i w:val="false"/>
          <w:iCs w:val="false"/>
          <w:color w:val="2A1B1D"/>
          <w:sz w:val="22"/>
          <w:szCs w:val="22"/>
        </w:rPr>
        <w:t xml:space="preserve">The strategic plan's underlying theory rests on a coherent partnership between national appropriation, donor co-funding, and county implementation. Q1 2026 evidence is that all three components are stressed simultaneously. The Cabinet Memo currently in preparation will need to address whether the strategic plan's targets remain achievable on the original trajectory, whether they require recalibration, or whether the underlying theory needs more fundamental review. The Ministry's preliminary assessment is that recalibration is required; theory revision is not yet warranted but should be on the agenda for the Q2 2027 mid-term review.</w:t>
      </w:r>
    </w:p>
    <w:p>
      <w:pPr>
        <w:spacing w:after="280"/>
      </w:pPr>
      <w:r>
        <w:t xml:space="preserve"/>
      </w:r>
    </w:p>
    <w:p>
      <w:r>
        <w:br w:type="pag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Industrial Modernisation Programme — Theory of Change</w:t>
      </w:r>
    </w:p>
    <w:p>
      <w:pPr>
        <w:spacing w:after="160"/>
      </w:pPr>
      <w:r>
        <w:rPr>
          <w:rFonts w:ascii="Calibri" w:cs="Calibri" w:eastAsia="Calibri" w:hAnsi="Calibri"/>
          <w:i/>
          <w:iCs/>
          <w:color w:val="6B6B6B"/>
          <w:sz w:val="18"/>
          <w:szCs w:val="18"/>
        </w:rPr>
        <w:t xml:space="preserve">Ministry of Industrial Modernisation · Programme Design Document 2024 · Confidential</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The programme premise</w:t>
      </w:r>
    </w:p>
    <w:p>
      <w:pPr>
        <w:spacing w:after="200"/>
        <w:jc w:val="left"/>
      </w:pPr>
      <w:r>
        <w:rPr>
          <w:rFonts w:ascii="Calibri" w:cs="Calibri" w:eastAsia="Calibri" w:hAnsi="Calibri"/>
          <w:b w:val="false"/>
          <w:bCs w:val="false"/>
          <w:i w:val="false"/>
          <w:iCs w:val="false"/>
          <w:color w:val="2A1B1D"/>
          <w:sz w:val="22"/>
          <w:szCs w:val="22"/>
        </w:rPr>
        <w:t xml:space="preserve">The Industrial Modernisation Programme is designed to address Kenya's industrial sector underperformance through county-anchored interventions that combine infrastructure, finance, and capacity-building. The programme's theory of change is that industrial development cannot be driven from the centre alone — it requires county-level execution with national coordination — and that the right combination of investments, sequenced correctly, can produce industrial cluster effects in counties with appropriate underlying conditions.</w:t>
      </w:r>
    </w:p>
    <w:p>
      <w:pPr>
        <w:pStyle w:val="Heading3"/>
        <w:spacing w:after="120" w:before="220"/>
      </w:pPr>
      <w:r>
        <w:rPr>
          <w:rFonts w:ascii="Calibri" w:cs="Calibri" w:eastAsia="Calibri" w:hAnsi="Calibri"/>
          <w:b/>
          <w:bCs/>
          <w:color w:val="2A1B1D"/>
          <w:sz w:val="22"/>
          <w:szCs w:val="22"/>
        </w:rPr>
        <w:t xml:space="preserve">The theory of change explicitly stated</w:t>
      </w:r>
    </w:p>
    <w:p>
      <w:pPr>
        <w:spacing w:after="200"/>
        <w:jc w:val="left"/>
      </w:pPr>
      <w:r>
        <w:rPr>
          <w:rFonts w:ascii="Calibri" w:cs="Calibri" w:eastAsia="Calibri" w:hAnsi="Calibri"/>
          <w:b w:val="false"/>
          <w:bCs w:val="false"/>
          <w:i w:val="false"/>
          <w:iCs w:val="false"/>
          <w:color w:val="2A1B1D"/>
          <w:sz w:val="22"/>
          <w:szCs w:val="22"/>
        </w:rPr>
        <w:t xml:space="preserve">If the Programme provides infrastructure (industrial park land, utilities, road access), finance (grants and concessional loans for SME industrial investment), and capacity-building (workforce skills, business development services, regulatory navigation) at appropriate scale to seventeen target counties, then those counties will attract industrial investment, the investment will produce employment and output growth, the growth will generate regional economic linkages, and the linkages will produce the cluster effects that sustain industrial sector contribution to GDP.</w:t>
      </w:r>
    </w:p>
    <w:p>
      <w:pPr>
        <w:pStyle w:val="Heading3"/>
        <w:spacing w:after="120" w:before="220"/>
      </w:pPr>
      <w:r>
        <w:rPr>
          <w:rFonts w:ascii="Calibri" w:cs="Calibri" w:eastAsia="Calibri" w:hAnsi="Calibri"/>
          <w:b/>
          <w:bCs/>
          <w:color w:val="2A1B1D"/>
          <w:sz w:val="22"/>
          <w:szCs w:val="22"/>
        </w:rPr>
        <w:t xml:space="preserve">The assumptions the theory rests on</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Counties have the institutional capacity to deploy programme resources effectively. This assumption was made at programme design without rigorous baseline assessment of county industrial development unit capacity.</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Conditional grant disbursement from Treasury operates on timelines compatible with county execution windows. This assumption was made before the macro-fiscal consolidation programme that has tightened disbursement cycles.</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Industrial investment responds to programme incentives at the assumed elasticities. The programme design used elasticities calibrated to Kenya's 2014-2018 industrial growth period; subsequent macro conditions have not been comparable.</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Counties below initial baseline will catch up to leading counties through programme participation. The assumption was that the programme would be a convergence mechanism.</w:t>
      </w:r>
    </w:p>
    <w:p>
      <w:pPr>
        <w:pStyle w:val="Heading3"/>
        <w:spacing w:after="120" w:before="220"/>
      </w:pPr>
      <w:r>
        <w:rPr>
          <w:rFonts w:ascii="Calibri" w:cs="Calibri" w:eastAsia="Calibri" w:hAnsi="Calibri"/>
          <w:b/>
          <w:bCs/>
          <w:color w:val="2A1B1D"/>
          <w:sz w:val="22"/>
          <w:szCs w:val="22"/>
        </w:rPr>
        <w:t xml:space="preserve">What the Q1 2026 evidence shows about each assumption</w:t>
      </w:r>
    </w:p>
    <w:p>
      <w:pPr>
        <w:spacing w:after="200"/>
        <w:jc w:val="left"/>
      </w:pPr>
      <w:r>
        <w:rPr>
          <w:rFonts w:ascii="Calibri" w:cs="Calibri" w:eastAsia="Calibri" w:hAnsi="Calibri"/>
          <w:b w:val="false"/>
          <w:bCs w:val="false"/>
          <w:i w:val="false"/>
          <w:iCs w:val="false"/>
          <w:color w:val="2A1B1D"/>
          <w:sz w:val="22"/>
          <w:szCs w:val="22"/>
        </w:rPr>
        <w:t xml:space="preserve">The convergence assumption (#4) is failing. Three counties have moved well above target (Kiambu, Machakos, Nakuru); three are at target (Kisumu, Mombasa, Nyeri); eleven are below target. The variation has widened over four quarters, not narrowed as the convergence theory anticipated. The Directorate of County Coordination has flagged that the variation correlates strongly with pre-existing county industrial development unit capacity — meaning the programme is amplifying initial differences rather than producing convergence.</w:t>
      </w:r>
    </w:p>
    <w:p>
      <w:pPr>
        <w:spacing w:after="200"/>
        <w:jc w:val="left"/>
      </w:pPr>
      <w:r>
        <w:rPr>
          <w:rFonts w:ascii="Calibri" w:cs="Calibri" w:eastAsia="Calibri" w:hAnsi="Calibri"/>
          <w:b w:val="false"/>
          <w:bCs w:val="false"/>
          <w:i w:val="false"/>
          <w:iCs w:val="false"/>
          <w:color w:val="2A1B1D"/>
          <w:sz w:val="22"/>
          <w:szCs w:val="22"/>
        </w:rPr>
        <w:t xml:space="preserve">The disbursement assumption (#2) is partially failing. Treasury has consistently disbursed conditional grants, but the timing patterns have compressed county execution windows below what programme design anticipated. The strongest-performing counties have been able to compensate with bridge financing or accelerated procurement; weaker-performing counties have not.</w:t>
      </w:r>
    </w:p>
    <w:p>
      <w:pPr>
        <w:spacing w:after="200"/>
        <w:jc w:val="left"/>
      </w:pPr>
      <w:r>
        <w:rPr>
          <w:rFonts w:ascii="Calibri" w:cs="Calibri" w:eastAsia="Calibri" w:hAnsi="Calibri"/>
          <w:b w:val="false"/>
          <w:bCs w:val="false"/>
          <w:i w:val="false"/>
          <w:iCs w:val="false"/>
          <w:color w:val="2A1B1D"/>
          <w:sz w:val="22"/>
          <w:szCs w:val="22"/>
        </w:rPr>
        <w:t xml:space="preserve">The investment elasticity assumption (#3) is uncertain. The four leading counties have attracted industrial investment at rates close to design expectations; the eleven below-target counties have not, but it is not yet clear whether this reflects a different elasticity or simply that the programme inputs have not yet reached threshold scale in those counties.</w:t>
      </w:r>
    </w:p>
    <w:p>
      <w:pPr>
        <w:pStyle w:val="Heading3"/>
        <w:spacing w:after="120" w:before="220"/>
      </w:pPr>
      <w:r>
        <w:rPr>
          <w:rFonts w:ascii="Calibri" w:cs="Calibri" w:eastAsia="Calibri" w:hAnsi="Calibri"/>
          <w:b/>
          <w:bCs/>
          <w:color w:val="2A1B1D"/>
          <w:sz w:val="22"/>
          <w:szCs w:val="22"/>
        </w:rPr>
        <w:t xml:space="preserve">The strategic implication</w:t>
      </w:r>
    </w:p>
    <w:p>
      <w:pPr>
        <w:spacing w:after="200"/>
        <w:jc w:val="left"/>
      </w:pPr>
      <w:r>
        <w:rPr>
          <w:rFonts w:ascii="Calibri" w:cs="Calibri" w:eastAsia="Calibri" w:hAnsi="Calibri"/>
          <w:b w:val="false"/>
          <w:bCs w:val="false"/>
          <w:i w:val="false"/>
          <w:iCs w:val="false"/>
          <w:color w:val="2A1B1D"/>
          <w:sz w:val="22"/>
          <w:szCs w:val="22"/>
        </w:rPr>
        <w:t xml:space="preserve">The Q1 2026 evidence suggests that the theory of change requires revision. The convergence assumption — that programme participation alone would produce catch-up — is not supported by the data. A revised theory might frame the programme as a sequenced intervention: first, baseline county capacity must reach a threshold; only then will the programme's infrastructure and finance components produce the assumed cluster effects. This revised theory would imply that counties below threshold need a different intervention sequence than counties at or above threshold.</w:t>
      </w:r>
    </w:p>
    <w:p>
      <w:pPr>
        <w:spacing w:after="200"/>
        <w:jc w:val="left"/>
      </w:pPr>
      <w:r>
        <w:rPr>
          <w:rFonts w:ascii="Calibri" w:cs="Calibri" w:eastAsia="Calibri" w:hAnsi="Calibri"/>
          <w:b w:val="false"/>
          <w:bCs w:val="false"/>
          <w:i w:val="false"/>
          <w:iCs w:val="false"/>
          <w:color w:val="2A1B1D"/>
          <w:sz w:val="22"/>
          <w:szCs w:val="22"/>
        </w:rPr>
        <w:t xml:space="preserve">The Ministry has not yet committed to theory revision. The Cabinet Memo currently in preparation is operational rather than theoretical — addressing the FY26-27 fiscal envelope and the donor partnership question — but the Mid-Term Review scheduled for Q2 2027 will require explicit position on whether the original theory of change is to be preserved, revised, or replaced. The Memo should at minimum signal that this question is under formal review.</w:t>
      </w:r>
    </w:p>
    <w:p>
      <w:pPr>
        <w:spacing w:after="280"/>
      </w:pPr>
      <w:r>
        <w:t xml:space="preserve"/>
      </w:r>
    </w:p>
    <w:p>
      <w:r>
        <w:br w:type="page"/>
      </w:r>
    </w:p>
    <w:p>
      <w:pPr>
        <w:pBdr>
          <w:bottom w:val="single" w:color="D5C9B6" w:sz="4" w:space="6"/>
        </w:pBdr>
        <w:spacing w:after="200" w:before="200"/>
      </w:pPr>
      <w:r>
        <w:t xml:space="preserve"/>
      </w:r>
    </w:p>
    <w:p>
      <w:pPr>
        <w:spacing w:after="80" w:before="100"/>
      </w:pPr>
      <w:r>
        <w:rPr>
          <w:rFonts w:ascii="Georgia" w:cs="Georgia" w:eastAsia="Georgia" w:hAnsi="Georgia"/>
          <w:b/>
          <w:bCs/>
          <w:color w:val="2A1B1D"/>
          <w:sz w:val="28"/>
          <w:szCs w:val="28"/>
        </w:rPr>
        <w:t xml:space="preserve">Political-Economy Assessment — Industrial Modernisation Q1 2026</w:t>
      </w:r>
    </w:p>
    <w:p>
      <w:pPr>
        <w:spacing w:after="160"/>
      </w:pPr>
      <w:r>
        <w:rPr>
          <w:rFonts w:ascii="Calibri" w:cs="Calibri" w:eastAsia="Calibri" w:hAnsi="Calibri"/>
          <w:i/>
          <w:iCs/>
          <w:color w:val="6B6B6B"/>
          <w:sz w:val="18"/>
          <w:szCs w:val="18"/>
        </w:rPr>
        <w:t xml:space="preserve">Ministry of Industrial Modernisation · Office of the PS · Policy Briefing · Restricted Distribution</w:t>
      </w:r>
    </w:p>
    <w:p>
      <w:pPr>
        <w:pBdr>
          <w:bottom w:val="single" w:color="D5C9B6" w:sz="4" w:space="6"/>
        </w:pBdr>
        <w:spacing w:after="200" w:before="200"/>
      </w:pPr>
      <w:r>
        <w:t xml:space="preserve"/>
      </w:r>
    </w:p>
    <w:p>
      <w:pPr>
        <w:pStyle w:val="Heading3"/>
        <w:spacing w:after="120" w:before="220"/>
      </w:pPr>
      <w:r>
        <w:rPr>
          <w:rFonts w:ascii="Calibri" w:cs="Calibri" w:eastAsia="Calibri" w:hAnsi="Calibri"/>
          <w:b/>
          <w:bCs/>
          <w:color w:val="2A1B1D"/>
          <w:sz w:val="22"/>
          <w:szCs w:val="22"/>
        </w:rPr>
        <w:t xml:space="preserve">Why this assessment</w:t>
      </w:r>
    </w:p>
    <w:p>
      <w:pPr>
        <w:spacing w:after="200"/>
        <w:jc w:val="left"/>
      </w:pPr>
      <w:r>
        <w:rPr>
          <w:rFonts w:ascii="Calibri" w:cs="Calibri" w:eastAsia="Calibri" w:hAnsi="Calibri"/>
          <w:b w:val="false"/>
          <w:bCs w:val="false"/>
          <w:i w:val="false"/>
          <w:iCs w:val="false"/>
          <w:color w:val="2A1B1D"/>
          <w:sz w:val="22"/>
          <w:szCs w:val="22"/>
        </w:rPr>
        <w:t xml:space="preserve">Cabinet Memos and Treasury submissions present technical positions on programme performance. They do not — by convention or design — address the political-economy context within which those technical positions will be received. This briefing supplements the technical materials with the political-economy assessment that the PS judges the CS should consider before finalising the position taken into Cabinet.</w:t>
      </w:r>
    </w:p>
    <w:p>
      <w:pPr>
        <w:pStyle w:val="Heading3"/>
        <w:spacing w:after="120" w:before="220"/>
      </w:pPr>
      <w:r>
        <w:rPr>
          <w:rFonts w:ascii="Calibri" w:cs="Calibri" w:eastAsia="Calibri" w:hAnsi="Calibri"/>
          <w:b/>
          <w:bCs/>
          <w:color w:val="2A1B1D"/>
          <w:sz w:val="22"/>
          <w:szCs w:val="22"/>
        </w:rPr>
        <w:t xml:space="preserve">The political-economy context</w:t>
      </w:r>
    </w:p>
    <w:p>
      <w:pPr>
        <w:spacing w:after="200"/>
        <w:jc w:val="left"/>
      </w:pPr>
      <w:r>
        <w:rPr>
          <w:rFonts w:ascii="Calibri" w:cs="Calibri" w:eastAsia="Calibri" w:hAnsi="Calibri"/>
          <w:b w:val="false"/>
          <w:bCs w:val="false"/>
          <w:i w:val="false"/>
          <w:iCs w:val="false"/>
          <w:color w:val="2A1B1D"/>
          <w:sz w:val="22"/>
          <w:szCs w:val="22"/>
        </w:rPr>
        <w:t xml:space="preserve">Three political-economy factors bear materially on the strategic decisions before the Ministry.</w:t>
      </w:r>
    </w:p>
    <w:p>
      <w:pPr>
        <w:spacing w:after="200"/>
        <w:jc w:val="left"/>
      </w:pPr>
      <w:r>
        <w:rPr>
          <w:rFonts w:ascii="Calibri" w:cs="Calibri" w:eastAsia="Calibri" w:hAnsi="Calibri"/>
          <w:b w:val="false"/>
          <w:bCs w:val="false"/>
          <w:i w:val="false"/>
          <w:iCs w:val="false"/>
          <w:color w:val="2A1B1D"/>
          <w:sz w:val="22"/>
          <w:szCs w:val="22"/>
        </w:rPr>
        <w:t xml:space="preserve">First, the National Assembly Committee on Industrialisation has shifted its questioning pattern from programme design to implementation accountability. The shift reflects the broader Parliamentary cycle — Departmental Committees in this Parliament have moved from ex-ante review toward ex-post accountability, particularly on flagship programmes that have been running for two or more reporting cycles. The Committee Chair has signalled in informal discussion that the next hearing will focus specifically on the eleven below-target counties, with named questions on what the Ministry has done and is committed to doing.</w:t>
      </w:r>
    </w:p>
    <w:p>
      <w:pPr>
        <w:spacing w:after="200"/>
        <w:jc w:val="left"/>
      </w:pPr>
      <w:r>
        <w:rPr>
          <w:rFonts w:ascii="Calibri" w:cs="Calibri" w:eastAsia="Calibri" w:hAnsi="Calibri"/>
          <w:b w:val="false"/>
          <w:bCs w:val="false"/>
          <w:i w:val="false"/>
          <w:iCs w:val="false"/>
          <w:color w:val="2A1B1D"/>
          <w:sz w:val="22"/>
          <w:szCs w:val="22"/>
        </w:rPr>
        <w:t xml:space="preserve">Second, the Council of Governors has been increasingly active on intergovernmental fiscal questions. The compressed conditional grant disbursement cycles have produced explicit governor-level concerns; the Council has tabled the question at three consecutive Intergovernmental Budget and Economic Council meetings. The political costs of being identified by the Council as the Ministry that disadvantages counties through grant timing patterns are real, even where the timing is structurally driven by Treasury.</w:t>
      </w:r>
    </w:p>
    <w:p>
      <w:pPr>
        <w:spacing w:after="200"/>
        <w:jc w:val="left"/>
      </w:pPr>
      <w:r>
        <w:rPr>
          <w:rFonts w:ascii="Calibri" w:cs="Calibri" w:eastAsia="Calibri" w:hAnsi="Calibri"/>
          <w:b w:val="false"/>
          <w:bCs w:val="false"/>
          <w:i w:val="false"/>
          <w:iCs w:val="false"/>
          <w:color w:val="2A1B1D"/>
          <w:sz w:val="22"/>
          <w:szCs w:val="22"/>
        </w:rPr>
        <w:t xml:space="preserve">Third, the donor partnership relationships are entering a delicate period. The mid-term review's recommendations — including the recommended scaling envelope above the Treasury ceiling — are not just technical recommendations; they reflect the donor's strategic positioning on the partnership. Acceptance, partial acceptance, or rejection of the recommendations will signal Government's posture toward the partnership for the FY26-28 cycle. The donor has explicitly noted that other African government partners are watching how Kenya responds.</w:t>
      </w:r>
    </w:p>
    <w:p>
      <w:pPr>
        <w:pStyle w:val="Heading3"/>
        <w:spacing w:after="120" w:before="220"/>
      </w:pPr>
      <w:r>
        <w:rPr>
          <w:rFonts w:ascii="Calibri" w:cs="Calibri" w:eastAsia="Calibri" w:hAnsi="Calibri"/>
          <w:b/>
          <w:bCs/>
          <w:color w:val="2A1B1D"/>
          <w:sz w:val="22"/>
          <w:szCs w:val="22"/>
        </w:rPr>
        <w:t xml:space="preserve">How the political-economy bears on the technical decisions</w:t>
      </w:r>
    </w:p>
    <w:p>
      <w:pPr>
        <w:spacing w:after="200"/>
        <w:jc w:val="left"/>
      </w:pPr>
      <w:r>
        <w:rPr>
          <w:rFonts w:ascii="Calibri" w:cs="Calibri" w:eastAsia="Calibri" w:hAnsi="Calibri"/>
          <w:b w:val="false"/>
          <w:bCs w:val="false"/>
          <w:i w:val="false"/>
          <w:iCs w:val="false"/>
          <w:color w:val="2A1B1D"/>
          <w:sz w:val="22"/>
          <w:szCs w:val="22"/>
        </w:rPr>
        <w:t xml:space="preserve">The Cabinet Memo's treatment of the eleven below-target counties needs to anticipate the Parliamentary Committee hearing. A Memo that frames the variation as a structural pattern across all flagship programmes — citing the cross-sectoral evidence — provides better political-economy ground than one that defends the Industrial Modernisation Programme specifically. The PS recommends the cross-sectoral framing.</w:t>
      </w:r>
    </w:p>
    <w:p>
      <w:pPr>
        <w:spacing w:after="200"/>
        <w:jc w:val="left"/>
      </w:pPr>
      <w:r>
        <w:rPr>
          <w:rFonts w:ascii="Calibri" w:cs="Calibri" w:eastAsia="Calibri" w:hAnsi="Calibri"/>
          <w:b w:val="false"/>
          <w:bCs w:val="false"/>
          <w:i w:val="false"/>
          <w:iCs w:val="false"/>
          <w:color w:val="2A1B1D"/>
          <w:sz w:val="22"/>
          <w:szCs w:val="22"/>
        </w:rPr>
        <w:t xml:space="preserve">The Treasury ceiling question cannot be resolved purely technically because the Council of Governors will read whatever decision is taken through the lens of intergovernmental fiscal relations. A position that concentrates allocation in the four strong-performing counties (Treasury's preferred path) is defensible technically but politically combustible if presented without the explicit framing that the eleven below-target counties will receive different intervention modalities.</w:t>
      </w:r>
    </w:p>
    <w:p>
      <w:pPr>
        <w:spacing w:after="200"/>
        <w:jc w:val="left"/>
      </w:pPr>
      <w:r>
        <w:rPr>
          <w:rFonts w:ascii="Calibri" w:cs="Calibri" w:eastAsia="Calibri" w:hAnsi="Calibri"/>
          <w:b w:val="false"/>
          <w:bCs w:val="false"/>
          <w:i w:val="false"/>
          <w:iCs w:val="false"/>
          <w:color w:val="2A1B1D"/>
          <w:sz w:val="22"/>
          <w:szCs w:val="22"/>
        </w:rPr>
        <w:t xml:space="preserve">The donor partnership question has a longer time horizon than the Cabinet Memo. The Memo can defer the formal response to the donor mid-term review; what it cannot do is commit to a position that closes the donor partnership space prematurely. The PS's recommendation: accept the donor's recommended scaling envelope in principle, signal partnership commitment, defer specifics on FY26-27 financing arrangement to a subsequent technical engagement.</w:t>
      </w:r>
    </w:p>
    <w:p>
      <w:pPr>
        <w:pStyle w:val="Heading3"/>
        <w:spacing w:after="120" w:before="220"/>
      </w:pPr>
      <w:r>
        <w:rPr>
          <w:rFonts w:ascii="Calibri" w:cs="Calibri" w:eastAsia="Calibri" w:hAnsi="Calibri"/>
          <w:b/>
          <w:bCs/>
          <w:color w:val="2A1B1D"/>
          <w:sz w:val="22"/>
          <w:szCs w:val="22"/>
        </w:rPr>
        <w:t xml:space="preserve">The strategic risk the PS recommends naming</w:t>
      </w:r>
    </w:p>
    <w:p>
      <w:pPr>
        <w:spacing w:after="200"/>
        <w:jc w:val="left"/>
      </w:pPr>
      <w:r>
        <w:rPr>
          <w:rFonts w:ascii="Calibri" w:cs="Calibri" w:eastAsia="Calibri" w:hAnsi="Calibri"/>
          <w:b w:val="false"/>
          <w:bCs w:val="false"/>
          <w:i w:val="false"/>
          <w:iCs w:val="false"/>
          <w:color w:val="2A1B1D"/>
          <w:sz w:val="22"/>
          <w:szCs w:val="22"/>
        </w:rPr>
        <w:t xml:space="preserve">The strategic risk that the technical materials underweight is the political-economy risk of inaction. The current trajectory — eleven counties below target, widening variation, donor envelope misaligned with Treasury ceiling, Parliamentary Committee shifting toward accountability — produces an environment in which the Ministry's strategic plan can become politically untenable before its technical revision is completed. The PS recommends that the CS consider whether the Mid-Term Review scheduled for Q2 2027 is responsive to the political-economy timeline, or whether earlier strategic engagement with Cabinet is warranted.</w:t>
      </w:r>
    </w:p>
    <w:p>
      <w:pPr>
        <w:pStyle w:val="Heading3"/>
        <w:spacing w:after="120" w:before="220"/>
      </w:pPr>
      <w:r>
        <w:rPr>
          <w:rFonts w:ascii="Calibri" w:cs="Calibri" w:eastAsia="Calibri" w:hAnsi="Calibri"/>
          <w:b/>
          <w:bCs/>
          <w:color w:val="2A1B1D"/>
          <w:sz w:val="22"/>
          <w:szCs w:val="22"/>
        </w:rPr>
        <w:t xml:space="preserve">This briefing is restricted</w:t>
      </w:r>
    </w:p>
    <w:p>
      <w:pPr>
        <w:spacing w:after="200"/>
        <w:jc w:val="left"/>
      </w:pPr>
      <w:r>
        <w:rPr>
          <w:rFonts w:ascii="Calibri" w:cs="Calibri" w:eastAsia="Calibri" w:hAnsi="Calibri"/>
          <w:b w:val="false"/>
          <w:bCs w:val="false"/>
          <w:i w:val="false"/>
          <w:iCs w:val="false"/>
          <w:color w:val="2A1B1D"/>
          <w:sz w:val="22"/>
          <w:szCs w:val="22"/>
        </w:rPr>
        <w:t xml:space="preserve">This briefing is for the CS's consideration only. Political-economy analysis is conventionally absent from Cabinet Memos and Treasury submissions for institutional reasons that the PS respects. The briefing is provided to inform the CS's judgement on the technical positions, not to be incorporated into the technical materials themselves.</w:t>
      </w:r>
    </w:p>
    <w:p>
      <w:pPr>
        <w:spacing w:after="280"/>
      </w:pPr>
      <w:r>
        <w:t xml:space="preserve"/>
      </w:r>
    </w:p>
    <w:p>
      <w:r>
        <w:br w:type="page"/>
      </w:r>
    </w:p>
    <w:p>
      <w:pPr>
        <w:spacing w:after="60"/>
      </w:pPr>
      <w:r>
        <w:rPr>
          <w:rFonts w:ascii="Calibri" w:cs="Calibri" w:eastAsia="Calibri" w:hAnsi="Calibri"/>
          <w:b/>
          <w:bCs/>
          <w:color w:val="C25A38"/>
          <w:spacing w:val="80"/>
          <w:sz w:val="16"/>
          <w:szCs w:val="16"/>
        </w:rPr>
        <w:t xml:space="preserve">CLOSING</w:t>
      </w:r>
    </w:p>
    <w:p>
      <w:pPr>
        <w:pStyle w:val="Heading1"/>
        <w:spacing w:after="220" w:before="440"/>
      </w:pPr>
      <w:r>
        <w:rPr>
          <w:rFonts w:ascii="Georgia" w:cs="Georgia" w:eastAsia="Georgia" w:hAnsi="Georgia"/>
          <w:b/>
          <w:bCs/>
          <w:color w:val="2A1B1D"/>
          <w:sz w:val="36"/>
          <w:szCs w:val="36"/>
        </w:rPr>
        <w:t xml:space="preserve">Engineering ingestion notes — strategic documents</w:t>
      </w:r>
    </w:p>
    <w:p>
      <w:pPr>
        <w:pStyle w:val="Heading2"/>
        <w:spacing w:after="160" w:before="300"/>
      </w:pPr>
      <w:r>
        <w:rPr>
          <w:rFonts w:ascii="Georgia" w:cs="Georgia" w:eastAsia="Georgia" w:hAnsi="Georgia"/>
          <w:b/>
          <w:bCs/>
          <w:color w:val="2A1B1D"/>
          <w:sz w:val="26"/>
          <w:szCs w:val="26"/>
        </w:rPr>
        <w:t xml:space="preserve">Integration with the original Sandbox Content Pack</w:t>
      </w:r>
    </w:p>
    <w:p>
      <w:pPr>
        <w:spacing w:after="200"/>
        <w:jc w:val="left"/>
      </w:pPr>
      <w:r>
        <w:rPr>
          <w:rFonts w:ascii="Calibri" w:cs="Calibri" w:eastAsia="Calibri" w:hAnsi="Calibri"/>
          <w:b w:val="false"/>
          <w:bCs w:val="false"/>
          <w:i w:val="false"/>
          <w:iCs w:val="false"/>
          <w:color w:val="2A1B1D"/>
          <w:sz w:val="22"/>
          <w:szCs w:val="22"/>
        </w:rPr>
        <w:t xml:space="preserve">The strategic documents in this pack should be ingested into the same content store as the original Sandbox Content Pack, with two specific integration points:</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Step 1 Solva — strategic documents are added to the source_documents pool available for the user to draw from. When a user runs Develop Strategy, attaching a strategic document calibrates the Solva session to strategic-level questions rather than tactical ones. The Candidate Generation Model should classify strategic documents into different situation classes (capital allocation, market entry, succession, strategic transformation) than tactical documents.</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Step 4 Cycle Manager — the strategic_baseline section in the Cycle Manager snapshot should reference the strategic plan content rather than just listing targets in bullets. The original pack listed bullet targets; with strategic documents available, the Cycle Manager view can show the strategic baseline as a richer institutional memory artefact.</w:t>
      </w:r>
    </w:p>
    <w:p>
      <w:pPr>
        <w:spacing w:after="240"/>
      </w:pPr>
      <w:r>
        <w:t xml:space="preserve"/>
      </w:r>
    </w:p>
    <w:p>
      <w:pPr>
        <w:pStyle w:val="Heading2"/>
        <w:spacing w:after="160" w:before="300"/>
      </w:pPr>
      <w:r>
        <w:rPr>
          <w:rFonts w:ascii="Georgia" w:cs="Georgia" w:eastAsia="Georgia" w:hAnsi="Georgia"/>
          <w:b/>
          <w:bCs/>
          <w:color w:val="2A1B1D"/>
          <w:sz w:val="26"/>
          <w:szCs w:val="26"/>
        </w:rPr>
        <w:t xml:space="preserve">Document length expectations</w:t>
      </w:r>
    </w:p>
    <w:p>
      <w:pPr>
        <w:spacing w:after="200"/>
        <w:jc w:val="left"/>
      </w:pPr>
      <w:r>
        <w:rPr>
          <w:rFonts w:ascii="Calibri" w:cs="Calibri" w:eastAsia="Calibri" w:hAnsi="Calibri"/>
          <w:b w:val="false"/>
          <w:bCs w:val="false"/>
          <w:i w:val="false"/>
          <w:iCs w:val="false"/>
          <w:color w:val="2A1B1D"/>
          <w:sz w:val="22"/>
          <w:szCs w:val="22"/>
        </w:rPr>
        <w:t xml:space="preserve">Each strategic document is 400-700 words of substantive content. This is calibrated to the Sandbox time budget — a user can read a strategic document in 90-120 seconds, which preserves the Sandbox pacing target. Documents at this length are also long enough to support real Solva sessions (the Candidate Generation Model has enough material to produce a robust candidate set, and the Triangulation Engine has enough content to detect divergences between the strategic intent and tactical reality).</w:t>
      </w:r>
    </w:p>
    <w:p>
      <w:pPr>
        <w:pStyle w:val="Heading2"/>
        <w:spacing w:after="160" w:before="300"/>
      </w:pPr>
      <w:r>
        <w:rPr>
          <w:rFonts w:ascii="Georgia" w:cs="Georgia" w:eastAsia="Georgia" w:hAnsi="Georgia"/>
          <w:b/>
          <w:bCs/>
          <w:color w:val="2A1B1D"/>
          <w:sz w:val="26"/>
          <w:szCs w:val="26"/>
        </w:rPr>
        <w:t xml:space="preserve">Strategic Solva session example</w:t>
      </w:r>
    </w:p>
    <w:p>
      <w:pPr>
        <w:spacing w:after="200"/>
        <w:jc w:val="left"/>
      </w:pPr>
      <w:r>
        <w:rPr>
          <w:rFonts w:ascii="Calibri" w:cs="Calibri" w:eastAsia="Calibri" w:hAnsi="Calibri"/>
          <w:b w:val="false"/>
          <w:bCs w:val="false"/>
          <w:i w:val="false"/>
          <w:iCs w:val="false"/>
          <w:color w:val="2A1B1D"/>
          <w:sz w:val="22"/>
          <w:szCs w:val="22"/>
        </w:rPr>
        <w:t xml:space="preserve">A user choosing Develop Strategy with the Mara Heritage Bank Five-Year Strategic Plan attached will encounter a Solva session that operates at the strategic time horizon. The opening question might be: "You inherited this strategy two years ago. Q1 2026 evidence shows three of the five strategic targets are off path — provisioning compression, real estate concentration, digital lending NPL. The strategy review window is annual; the next review is six months out. Should the strategy be allowed to continue without revision until then, or does Q1 evidence warrant earlier engagement?"</w:t>
      </w:r>
    </w:p>
    <w:p>
      <w:pPr>
        <w:spacing w:after="200"/>
        <w:jc w:val="left"/>
      </w:pPr>
      <w:r>
        <w:rPr>
          <w:rFonts w:ascii="Calibri" w:cs="Calibri" w:eastAsia="Calibri" w:hAnsi="Calibri"/>
          <w:b w:val="false"/>
          <w:bCs w:val="false"/>
          <w:i w:val="false"/>
          <w:iCs w:val="false"/>
          <w:color w:val="2A1B1D"/>
          <w:sz w:val="22"/>
          <w:szCs w:val="22"/>
        </w:rPr>
        <w:t xml:space="preserve">This question generates Solva candidates calibrated to strategy-level options (preserve, recalibrate, refresh, replace) and triangulates the user's narrative against the strategic plan content, the tactical Q1 evidence, and any prior strategic review records the user attaches. The session is structurally identical to a tactical Solva session but operates at strategic time horizons.</w:t>
      </w:r>
    </w:p>
    <w:p>
      <w:pPr>
        <w:spacing w:after="240"/>
      </w:pPr>
      <w:r>
        <w:t xml:space="preserve"/>
      </w:r>
    </w:p>
    <w:p>
      <w:pPr>
        <w:pStyle w:val="Heading2"/>
        <w:spacing w:after="160" w:before="300"/>
      </w:pPr>
      <w:r>
        <w:rPr>
          <w:rFonts w:ascii="Georgia" w:cs="Georgia" w:eastAsia="Georgia" w:hAnsi="Georgia"/>
          <w:b/>
          <w:bCs/>
          <w:color w:val="2A1B1D"/>
          <w:sz w:val="26"/>
          <w:szCs w:val="26"/>
        </w:rPr>
        <w:t xml:space="preserve">QA walk-through</w:t>
      </w:r>
    </w:p>
    <w:p>
      <w:pPr>
        <w:spacing w:after="200"/>
        <w:jc w:val="left"/>
      </w:pPr>
      <w:r>
        <w:rPr>
          <w:rFonts w:ascii="Calibri" w:cs="Calibri" w:eastAsia="Calibri" w:hAnsi="Calibri"/>
          <w:b w:val="false"/>
          <w:bCs w:val="false"/>
          <w:i w:val="false"/>
          <w:iCs w:val="false"/>
          <w:color w:val="2A1B1D"/>
          <w:sz w:val="22"/>
          <w:szCs w:val="22"/>
        </w:rPr>
        <w:t xml:space="preserve">Before the strategic documents ship in the Sandbox, engineering should walk through one strategic Solva session per context to verify the candidate generation operates correctly at strategic time horizons. The walk-through should confirm: (a) the situation class classifier correctly identifies strategic situation classes when the user's framing is strategic, (b) candidate templates exist for the major strategic situation classes (capital allocation, market entry, succession, strategic transformation, theory-of-change revision), (c) the Triangulation Engine correctly identifies divergences between strategic intent (in the strategic documents) and tactical reality (in the original pack documents), (d) the synthesis output is composed appropriately for strategic outputs (longer time horizons, more sensitivity to assumption changes, refusal logic appropriately triggered when strategic evidence is thin).</w:t>
      </w:r>
    </w:p>
    <w:p>
      <w:pPr>
        <w:spacing w:after="240"/>
      </w:pPr>
      <w:r>
        <w:t xml:space="preserve"/>
      </w:r>
    </w:p>
    <w:p>
      <w:pPr>
        <w:pBdr>
          <w:bottom w:val="single" w:color="D5C9B6" w:sz="4" w:space="6"/>
        </w:pBdr>
        <w:spacing w:after="200" w:before="200"/>
      </w:pPr>
      <w:r>
        <w:t xml:space="preserve"/>
      </w:r>
    </w:p>
    <w:p>
      <w:pPr>
        <w:spacing w:after="200"/>
        <w:jc w:val="center"/>
      </w:pPr>
      <w:r>
        <w:rPr>
          <w:rFonts w:ascii="Georgia" w:cs="Georgia" w:eastAsia="Georgia" w:hAnsi="Georgia"/>
          <w:b w:val="false"/>
          <w:bCs w:val="false"/>
          <w:i/>
          <w:iCs/>
          <w:color w:val="6B6B6B"/>
          <w:sz w:val="22"/>
          <w:szCs w:val="22"/>
        </w:rPr>
        <w:t xml:space="preserve">End of strategic documents pack.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9B6" w:sz="4" w:space="4"/>
      </w:pBd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C9B6" w:sz="4" w:space="4"/>
      </w:pBdr>
      <w:jc w:val="left"/>
    </w:pPr>
    <w:r>
      <w:rPr>
        <w:rFonts w:ascii="Georgia" w:cs="Georgia" w:eastAsia="Georgia" w:hAnsi="Georgia"/>
        <w:b/>
        <w:bCs/>
        <w:color w:val="2A1B1D"/>
        <w:sz w:val="18"/>
        <w:szCs w:val="18"/>
      </w:rPr>
      <w:t xml:space="preserve">Akki · Sandbox Strategic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Sandbox Strategic Documents Pack</dc:title>
  <dc:creator>Syni.ai</dc:creator>
  <dc:description>Strategic-layer documents for the five Sandbox contexts</dc:description>
  <cp:lastModifiedBy>Un-named</cp:lastModifiedBy>
  <cp:revision>1</cp:revision>
  <dcterms:created xsi:type="dcterms:W3CDTF">2026-05-05T04:44:14.080Z</dcterms:created>
  <dcterms:modified xsi:type="dcterms:W3CDTF">2026-05-05T04:44:14.081Z</dcterms:modified>
</cp:coreProperties>
</file>

<file path=docProps/custom.xml><?xml version="1.0" encoding="utf-8"?>
<Properties xmlns="http://schemas.openxmlformats.org/officeDocument/2006/custom-properties" xmlns:vt="http://schemas.openxmlformats.org/officeDocument/2006/docPropsVTypes"/>
</file>