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Regression test artefact for Committee Pack enhancement capability</w:t>
      </w:r>
    </w:p>
    <w:p>
      <w:pPr>
        <w:spacing w:before="400"/>
      </w:pPr>
      <w:r>
        <w:rPr>
          <w:rFonts w:ascii="Calibri" w:hAnsi="Calibri"/>
          <w:color w:val="4B5563"/>
          <w:sz w:val="20"/>
        </w:rPr>
        <w:t>Prepared for Quality Assurance  ·  N/A  ·  25 May 2026 · 08:09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regression test infrastructure for AKKI's Committee Pack enhancement functionality. No substantive committee content exists in the source artefact to tighten or enhance. The source contains only QA metadata confirming Committee Pack is now supported as a first-class enhancement type. Normal audit committee pack enhancements would involve clarifying accountability lines, sharpening variance explanations, removing hedging language, strengthening executive summaries, and ensuring numerical precision—none of which apply to test scaffolding.</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Regression Test Validation</w:t>
      </w:r>
    </w:p>
    <w:p>
      <w:r>
        <w:rPr>
          <w:rFonts w:ascii="Calibri" w:hAnsi="Calibri"/>
          <w:color w:val="111827"/>
          <w:sz w:val="22"/>
        </w:rPr>
        <w:t>03.  Expected Enhancement Approach</w:t>
      </w:r>
    </w:p>
    <w:p>
      <w:r>
        <w:rPr>
          <w:rFonts w:ascii="Calibri" w:hAnsi="Calibri"/>
          <w:color w:val="111827"/>
          <w:sz w:val="22"/>
        </w:rPr>
        <w:t>04.  Next Steps for Substantive Enhancement</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for enhancement</w:t>
      </w:r>
    </w:p>
    <w:p>
      <w:pPr>
        <w:spacing w:after="120"/>
      </w:pPr>
      <w:r>
        <w:rPr>
          <w:rFonts w:ascii="Georgia" w:hAnsi="Georgia"/>
          <w:i w:val="0"/>
          <w:color w:val="111827"/>
          <w:sz w:val="22"/>
        </w:rPr>
        <w:t>The provided source artefact contains 172 characters of QA metadata rather than substantive committee pack content. No agenda items, financial variances, risk assessments, management reports, or committee decisions exist to enhance.</w:t>
      </w:r>
    </w:p>
    <w:p>
      <w:pPr>
        <w:spacing w:after="120"/>
      </w:pPr>
      <w:r>
        <w:rPr>
          <w:rFonts w:ascii="Georgia" w:hAnsi="Georgia"/>
          <w:i w:val="0"/>
          <w:color w:val="111827"/>
          <w:sz w:val="22"/>
        </w:rPr>
        <w:t>The instruction requests tightening wording for the audit committee, but the source provides no prose, recommendations, or narrative elements to edit. Enhancement operations require baseline content that reflects committee deliberations, findings, or decisions.</w:t>
      </w:r>
    </w:p>
    <w:p>
      <w:pPr>
        <w:spacing w:after="120"/>
      </w:pPr>
      <w:r>
        <w:rPr>
          <w:rFonts w:ascii="Georgia" w:hAnsi="Georgia"/>
          <w:i w:val="0"/>
          <w:color w:val="111827"/>
          <w:sz w:val="22"/>
        </w:rPr>
        <w:t>For genuine audit committee packs, tightening would focus on executive summary discipline, removing ambiguous accountability language, clarifying numerical variances, strengthening recommendation phrasing, and ensuring citation integrity. These editorial principles cannot apply to test metadata. [1]</w:t>
      </w:r>
    </w:p>
    <w:p/>
    <w:p>
      <w:pPr>
        <w:spacing w:before="400" w:after="120"/>
      </w:pPr>
      <w:r>
        <w:rPr>
          <w:rFonts w:ascii="Calibri" w:hAnsi="Calibri"/>
          <w:b/>
          <w:color w:val="0A1F44"/>
          <w:sz w:val="40"/>
        </w:rPr>
        <w:t>Regression Test Validation</w:t>
      </w:r>
    </w:p>
    <w:p>
      <w:pPr>
        <w:spacing w:after="120"/>
      </w:pPr>
      <w:r>
        <w:rPr>
          <w:rFonts w:ascii="Georgia" w:hAnsi="Georgia"/>
          <w:i/>
          <w:color w:val="4B5563"/>
          <w:sz w:val="22"/>
        </w:rPr>
        <w:t>QA Chunk 7 objectives</w:t>
      </w:r>
    </w:p>
    <w:p>
      <w:pPr>
        <w:spacing w:after="120"/>
      </w:pPr>
      <w:r>
        <w:rPr>
          <w:rFonts w:ascii="Georgia" w:hAnsi="Georgia"/>
          <w:i w:val="0"/>
          <w:color w:val="111827"/>
          <w:sz w:val="22"/>
        </w:rPr>
        <w:t>The source explicitly identifies itself as regression test infrastructure validating that Committee Pack now functions as a first-class enhancement type within AKKI's taxonomy. This represents recent capability expansion rather than a substantive work request.</w:t>
      </w:r>
    </w:p>
    <w:p>
      <w:pPr>
        <w:spacing w:after="120"/>
      </w:pPr>
      <w:r>
        <w:rPr>
          <w:rFonts w:ascii="Georgia" w:hAnsi="Georgia"/>
          <w:i w:val="0"/>
          <w:color w:val="111827"/>
          <w:sz w:val="22"/>
        </w:rPr>
        <w:t>Successful validation would demonstrate that the enhancement pipeline correctly ingests committee pack artefacts, applies contextual instructions, preserves citation integrity where applicable, and produces structurally valid JSON output conforming to the specified schema.</w:t>
      </w:r>
    </w:p>
    <w:p>
      <w:pPr>
        <w:spacing w:after="120"/>
      </w:pPr>
      <w:r>
        <w:rPr>
          <w:rFonts w:ascii="Georgia" w:hAnsi="Georgia"/>
          <w:i w:val="0"/>
          <w:color w:val="111827"/>
          <w:sz w:val="22"/>
        </w:rPr>
        <w:t>The absence of citable claims, recommendations, or narrative sections in the source means citation preservation logic cannot be tested through this artefact. Additional test documents containing factual assertions with [n] references would be required to validate that capability. [1]</w:t>
      </w:r>
    </w:p>
    <w:p/>
    <w:p>
      <w:pPr>
        <w:spacing w:before="400" w:after="120"/>
      </w:pPr>
      <w:r>
        <w:rPr>
          <w:rFonts w:ascii="Calibri" w:hAnsi="Calibri"/>
          <w:b/>
          <w:color w:val="0A1F44"/>
          <w:sz w:val="40"/>
        </w:rPr>
        <w:t>Expected Enhancement Approach</w:t>
      </w:r>
    </w:p>
    <w:p>
      <w:pPr>
        <w:spacing w:after="120"/>
      </w:pPr>
      <w:r>
        <w:rPr>
          <w:rFonts w:ascii="Georgia" w:hAnsi="Georgia"/>
          <w:i/>
          <w:color w:val="4B5563"/>
          <w:sz w:val="22"/>
        </w:rPr>
        <w:t>Audit committee communication standards</w:t>
      </w:r>
    </w:p>
    <w:p>
      <w:pPr>
        <w:spacing w:after="120"/>
      </w:pPr>
      <w:r>
        <w:rPr>
          <w:rFonts w:ascii="Georgia" w:hAnsi="Georgia"/>
          <w:i w:val="0"/>
          <w:color w:val="111827"/>
          <w:sz w:val="22"/>
        </w:rPr>
        <w:t>Audit committee packs require concise executive summaries leading with material findings and risks, followed by detailed sections addressing each agenda item with clear ownership and decision status. Language must avoid marketing terminology, hedging, or ambiguity that creates interpretive latitude.</w:t>
      </w:r>
    </w:p>
    <w:p>
      <w:pPr>
        <w:spacing w:after="120"/>
      </w:pPr>
      <w:r>
        <w:rPr>
          <w:rFonts w:ascii="Georgia" w:hAnsi="Georgia"/>
          <w:i w:val="0"/>
          <w:color w:val="111827"/>
          <w:sz w:val="22"/>
        </w:rPr>
        <w:t>Numerical content demands precision: variances should cite prior period comparisons, materiality thresholds should be explicit, and any forecast adjustments require clear rationale. Accountability language should specify owner, action, and deadline without qualification.</w:t>
      </w:r>
    </w:p>
    <w:p>
      <w:pPr>
        <w:spacing w:after="120"/>
      </w:pPr>
      <w:r>
        <w:rPr>
          <w:rFonts w:ascii="Georgia" w:hAnsi="Georgia"/>
          <w:i w:val="0"/>
          <w:color w:val="111827"/>
          <w:sz w:val="22"/>
        </w:rPr>
        <w:t>Recommendations must be actionable and time-bound. Pull quotes should capture verbatim committee decisions where recorded. Citations ground claims in source documents, meeting minutes, or management reports. These standards would govern any genuine tightening operation.</w:t>
      </w:r>
    </w:p>
    <w:p/>
    <w:p>
      <w:pPr>
        <w:spacing w:before="400" w:after="120"/>
      </w:pPr>
      <w:r>
        <w:rPr>
          <w:rFonts w:ascii="Calibri" w:hAnsi="Calibri"/>
          <w:b/>
          <w:color w:val="0A1F44"/>
          <w:sz w:val="40"/>
        </w:rPr>
        <w:t>Next Steps for Substantive Enhancement</w:t>
      </w:r>
    </w:p>
    <w:p>
      <w:pPr>
        <w:spacing w:after="120"/>
      </w:pPr>
      <w:r>
        <w:rPr>
          <w:rFonts w:ascii="Georgia" w:hAnsi="Georgia"/>
          <w:i/>
          <w:color w:val="4B5563"/>
          <w:sz w:val="22"/>
        </w:rPr>
        <w:t>Requirements for work execution</w:t>
      </w:r>
    </w:p>
    <w:p>
      <w:pPr>
        <w:spacing w:after="120"/>
      </w:pPr>
      <w:r>
        <w:rPr>
          <w:rFonts w:ascii="Georgia" w:hAnsi="Georgia"/>
          <w:i w:val="0"/>
          <w:color w:val="111827"/>
          <w:sz w:val="22"/>
        </w:rPr>
        <w:t>If this request intended substantive enhancement rather than QA validation, the user should provide committee pack source material containing agenda items, discussion summaries, risk assessments, financial variances, or draft recommendations requiring editorial tightening.</w:t>
      </w:r>
    </w:p>
    <w:p>
      <w:pPr>
        <w:spacing w:after="120"/>
      </w:pPr>
      <w:r>
        <w:rPr>
          <w:rFonts w:ascii="Georgia" w:hAnsi="Georgia"/>
          <w:i w:val="0"/>
          <w:color w:val="111827"/>
          <w:sz w:val="22"/>
        </w:rPr>
        <w:t>Source content should include any existing [n] citations that must be preserved, meeting metadata (date, attendees, quorum status), and clarity on which sections require focus: executive summary compression, accountability strengthening, variance explanation, or recommendation sharpening.</w:t>
      </w:r>
    </w:p>
    <w:p>
      <w:pPr>
        <w:spacing w:after="120"/>
      </w:pPr>
      <w:r>
        <w:rPr>
          <w:rFonts w:ascii="Georgia" w:hAnsi="Georgia"/>
          <w:i w:val="0"/>
          <w:color w:val="111827"/>
          <w:sz w:val="22"/>
        </w:rPr>
        <w:t>Once proper source material is available, the enhancement operation would apply audit committee communication discipline while maintaining factual accuracy, preserving all grounded claims, and producing output that passes senior peer review and restraint tests.</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