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Test fixture for committee pack enhancement capability validation</w:t>
      </w:r>
    </w:p>
    <w:p>
      <w:pPr>
        <w:spacing w:before="400"/>
      </w:pPr>
      <w:r>
        <w:rPr>
          <w:rFonts w:ascii="Calibri" w:hAnsi="Calibri"/>
          <w:color w:val="4B5563"/>
          <w:sz w:val="20"/>
        </w:rPr>
        <w:t>Prepared for QA Validation Context  ·  N/A  ·  25 May 2026 · 08:24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fixture to validate that committee pack enhancement is now supported as a first-class capability. No substantive audit committee content is present in the source material. The test verifies system behaviour when enhancement instructions are applied to minimal input that lacks the expected committee meeting content, financial analysis, risk assessments, or governance recommendations typically required for audit committee review.</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Capability Validation</w:t>
      </w:r>
    </w:p>
    <w:p>
      <w:r>
        <w:rPr>
          <w:rFonts w:ascii="Calibri" w:hAnsi="Calibri"/>
          <w:color w:val="111827"/>
          <w:sz w:val="22"/>
        </w:rPr>
        <w:t>03.  Preservation Rule Compliance</w:t>
      </w:r>
    </w:p>
    <w:p>
      <w:r>
        <w:rPr>
          <w:rFonts w:ascii="Calibri" w:hAnsi="Calibri"/>
          <w:color w:val="111827"/>
          <w:sz w:val="22"/>
        </w:rPr>
        <w:t>04.  Test Fixture Limitations</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for enhancement task</w:t>
      </w:r>
    </w:p>
    <w:p>
      <w:pPr>
        <w:spacing w:after="120"/>
      </w:pPr>
      <w:r>
        <w:rPr>
          <w:rFonts w:ascii="Georgia" w:hAnsi="Georgia"/>
          <w:i w:val="0"/>
          <w:color w:val="111827"/>
          <w:sz w:val="22"/>
        </w:rPr>
        <w:t>The source document contains only meta-commentary identifying itself as a QA regression test fixture. No audit committee content exists to tighten or enhance.</w:t>
      </w:r>
    </w:p>
    <w:p>
      <w:pPr>
        <w:spacing w:after="120"/>
      </w:pPr>
      <w:r>
        <w:rPr>
          <w:rFonts w:ascii="Georgia" w:hAnsi="Georgia"/>
          <w:i w:val="0"/>
          <w:color w:val="111827"/>
          <w:sz w:val="22"/>
        </w:rPr>
        <w:t>Typical audit committee packs include financial statements, internal control assessments, risk registers, compliance updates, and management responses. None of these elements are present in the provided source.</w:t>
      </w:r>
    </w:p>
    <w:p>
      <w:pPr>
        <w:spacing w:after="120"/>
      </w:pPr>
      <w:r>
        <w:rPr>
          <w:rFonts w:ascii="Georgia" w:hAnsi="Georgia"/>
          <w:i w:val="0"/>
          <w:color w:val="111827"/>
          <w:sz w:val="22"/>
        </w:rPr>
        <w:t>Enhancement instructions requested tightening of wording for audit committee review, but no verbose or redundant language exists in the two-sentence source material to compress or refine. [1]</w:t>
      </w:r>
    </w:p>
    <w:p/>
    <w:p>
      <w:pPr>
        <w:spacing w:before="400" w:after="120"/>
      </w:pPr>
      <w:r>
        <w:rPr>
          <w:rFonts w:ascii="Calibri" w:hAnsi="Calibri"/>
          <w:b/>
          <w:color w:val="0A1F44"/>
          <w:sz w:val="40"/>
        </w:rPr>
        <w:t>Enhancement Capability Validation</w:t>
      </w:r>
    </w:p>
    <w:p>
      <w:pPr>
        <w:spacing w:after="120"/>
      </w:pPr>
      <w:r>
        <w:rPr>
          <w:rFonts w:ascii="Georgia" w:hAnsi="Georgia"/>
          <w:i/>
          <w:color w:val="4B5563"/>
          <w:sz w:val="22"/>
        </w:rPr>
        <w:t>Committee pack as first-class enhance kind</w:t>
      </w:r>
    </w:p>
    <w:p>
      <w:pPr>
        <w:spacing w:after="120"/>
      </w:pPr>
      <w:r>
        <w:rPr>
          <w:rFonts w:ascii="Georgia" w:hAnsi="Georgia"/>
          <w:i w:val="0"/>
          <w:color w:val="111827"/>
          <w:sz w:val="22"/>
        </w:rPr>
        <w:t>This fixture tests whether the system correctly processes committee pack documents through the enhancement pipeline, applying appropriate validation and reasoning protocols.</w:t>
      </w:r>
    </w:p>
    <w:p>
      <w:pPr>
        <w:spacing w:after="120"/>
      </w:pPr>
      <w:r>
        <w:rPr>
          <w:rFonts w:ascii="Georgia" w:hAnsi="Georgia"/>
          <w:i w:val="0"/>
          <w:color w:val="111827"/>
          <w:sz w:val="22"/>
        </w:rPr>
        <w:t>The test validates that enhancement requests for committee packs trigger the full four-layer reasoning rail, including recognition of source material adequacy constraints.</w:t>
      </w:r>
    </w:p>
    <w:p>
      <w:pPr>
        <w:spacing w:after="120"/>
      </w:pPr>
      <w:r>
        <w:rPr>
          <w:rFonts w:ascii="Georgia" w:hAnsi="Georgia"/>
          <w:i w:val="0"/>
          <w:color w:val="111827"/>
          <w:sz w:val="22"/>
        </w:rPr>
        <w:t>System behaviour in this test case should demonstrate appropriate handling when enhancement instructions cannot be executed due to absent source content, rather than fabricating material that would violate preservation constraints. [1]</w:t>
      </w:r>
    </w:p>
    <w:p/>
    <w:p>
      <w:pPr>
        <w:spacing w:before="400" w:after="120"/>
      </w:pPr>
      <w:r>
        <w:rPr>
          <w:rFonts w:ascii="Calibri" w:hAnsi="Calibri"/>
          <w:b/>
          <w:color w:val="0A1F44"/>
          <w:sz w:val="40"/>
        </w:rPr>
        <w:t>Preservation Rule Compliance</w:t>
      </w:r>
    </w:p>
    <w:p>
      <w:pPr>
        <w:spacing w:after="120"/>
      </w:pPr>
      <w:r>
        <w:rPr>
          <w:rFonts w:ascii="Georgia" w:hAnsi="Georgia"/>
          <w:i/>
          <w:color w:val="4B5563"/>
          <w:sz w:val="22"/>
        </w:rPr>
        <w:t>Citation and factual claim handling</w:t>
      </w:r>
    </w:p>
    <w:p>
      <w:pPr>
        <w:spacing w:after="120"/>
      </w:pPr>
      <w:r>
        <w:rPr>
          <w:rFonts w:ascii="Georgia" w:hAnsi="Georgia"/>
          <w:i w:val="0"/>
          <w:color w:val="111827"/>
          <w:sz w:val="22"/>
        </w:rPr>
        <w:t>Enhancement instructions specify preservation of any factual claims citing numbered references. The source document contains no such citations.</w:t>
      </w:r>
    </w:p>
    <w:p>
      <w:pPr>
        <w:spacing w:after="120"/>
      </w:pPr>
      <w:r>
        <w:rPr>
          <w:rFonts w:ascii="Georgia" w:hAnsi="Georgia"/>
          <w:i w:val="0"/>
          <w:color w:val="111827"/>
          <w:sz w:val="22"/>
        </w:rPr>
        <w:t>No financial figures, risk assessments, committee decisions, or other factual claims are present that would require preservation under the stated constraints.</w:t>
      </w:r>
    </w:p>
    <w:p>
      <w:pPr>
        <w:spacing w:after="120"/>
      </w:pPr>
      <w:r>
        <w:rPr>
          <w:rFonts w:ascii="Georgia" w:hAnsi="Georgia"/>
          <w:i w:val="0"/>
          <w:color w:val="111827"/>
          <w:sz w:val="22"/>
        </w:rPr>
        <w:t>This test case validates system compliance with preservation rules when the preservation set is null, ensuring no hallucinated content is introduced during enhancement attempts. [1]</w:t>
      </w:r>
    </w:p>
    <w:p/>
    <w:p>
      <w:pPr>
        <w:spacing w:before="400" w:after="120"/>
      </w:pPr>
      <w:r>
        <w:rPr>
          <w:rFonts w:ascii="Calibri" w:hAnsi="Calibri"/>
          <w:b/>
          <w:color w:val="0A1F44"/>
          <w:sz w:val="40"/>
        </w:rPr>
        <w:t>Test Fixture Limitations</w:t>
      </w:r>
    </w:p>
    <w:p>
      <w:pPr>
        <w:spacing w:after="120"/>
      </w:pPr>
      <w:r>
        <w:rPr>
          <w:rFonts w:ascii="Georgia" w:hAnsi="Georgia"/>
          <w:i/>
          <w:color w:val="4B5563"/>
          <w:sz w:val="22"/>
        </w:rPr>
        <w:t>Recommendations for future regression testing</w:t>
      </w:r>
    </w:p>
    <w:p>
      <w:pPr>
        <w:spacing w:after="120"/>
      </w:pPr>
      <w:r>
        <w:rPr>
          <w:rFonts w:ascii="Georgia" w:hAnsi="Georgia"/>
          <w:i w:val="0"/>
          <w:color w:val="111827"/>
          <w:sz w:val="22"/>
        </w:rPr>
        <w:t>A more robust regression test would include representative audit committee content with intentionally verbose wording, redundant sections, and mixed citation patterns to fully exercise enhancement capabilities.</w:t>
      </w:r>
    </w:p>
    <w:p>
      <w:pPr>
        <w:spacing w:after="120"/>
      </w:pPr>
      <w:r>
        <w:rPr>
          <w:rFonts w:ascii="Georgia" w:hAnsi="Georgia"/>
          <w:i w:val="0"/>
          <w:color w:val="111827"/>
          <w:sz w:val="22"/>
        </w:rPr>
        <w:t>Future test fixtures should include at least minimal substantive content in each expected section type: financial analysis, risk assessment, compliance update, and management recommendation.</w:t>
      </w:r>
    </w:p>
    <w:p>
      <w:pPr>
        <w:spacing w:after="120"/>
      </w:pPr>
      <w:r>
        <w:rPr>
          <w:rFonts w:ascii="Georgia" w:hAnsi="Georgia"/>
          <w:i w:val="0"/>
          <w:color w:val="111827"/>
          <w:sz w:val="22"/>
        </w:rPr>
        <w:t>Test cases validating insufficient source material handling should be explicitly labelled as negative tests, distinct from fixtures designed to validate enhancement output quality.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Validation Context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