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Enhancement test fixture for committee pack processing</w:t>
      </w:r>
    </w:p>
    <w:p>
      <w:pPr>
        <w:spacing w:before="400"/>
      </w:pPr>
      <w:r>
        <w:rPr>
          <w:rFonts w:ascii="Calibri" w:hAnsi="Calibri"/>
          <w:color w:val="4B5563"/>
          <w:sz w:val="20"/>
        </w:rPr>
        <w:t>Prepared for Quality Assurance / System Testing  ·  2024  ·  25 May 2026 · 08:14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fixture to verify that committee pack enhancement operates correctly as a first-class artefact type within the AKKI system. The source material contains minimal substantive content by design, functioning as scaffolding to validate the enhancement pipeline's handling of edge cases where instruction applicability is constrained by source sparsity.</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Enhancement Instruction Applicability</w:t>
      </w:r>
    </w:p>
    <w:p>
      <w:r>
        <w:rPr>
          <w:rFonts w:ascii="Calibri" w:hAnsi="Calibri"/>
          <w:color w:val="111827"/>
          <w:sz w:val="22"/>
        </w:rPr>
        <w:t>03.  Committee Pack Requirements</w:t>
      </w:r>
    </w:p>
    <w:p>
      <w:r>
        <w:rPr>
          <w:rFonts w:ascii="Calibri" w:hAnsi="Calibri"/>
          <w:color w:val="111827"/>
          <w:sz w:val="22"/>
        </w:rPr>
        <w:t>04.  System Processing Outcome</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Inventory</w:t>
      </w:r>
    </w:p>
    <w:p>
      <w:pPr>
        <w:spacing w:after="120"/>
      </w:pPr>
      <w:r>
        <w:rPr>
          <w:rFonts w:ascii="Georgia" w:hAnsi="Georgia"/>
          <w:i w:val="0"/>
          <w:color w:val="111827"/>
          <w:sz w:val="22"/>
        </w:rPr>
        <w:t>The source artefact comprises a title and a single explanatory sentence totalling approximately 30 words. No financial data, control assessments, risk findings, or audit recommendations are present.</w:t>
      </w:r>
    </w:p>
    <w:p>
      <w:pPr>
        <w:spacing w:after="120"/>
      </w:pPr>
      <w:r>
        <w:rPr>
          <w:rFonts w:ascii="Georgia" w:hAnsi="Georgia"/>
          <w:i w:val="0"/>
          <w:color w:val="111827"/>
          <w:sz w:val="22"/>
        </w:rPr>
        <w:t>The stated objective—tightening wording for audit committee consumption—cannot be meaningfully applied to text that is already minimal and serves a meta-documentary function rather than conveying substantive governance information.</w:t>
      </w:r>
    </w:p>
    <w:p>
      <w:pPr>
        <w:spacing w:after="120"/>
      </w:pPr>
      <w:r>
        <w:rPr>
          <w:rFonts w:ascii="Georgia" w:hAnsi="Georgia"/>
          <w:i w:val="0"/>
          <w:color w:val="111827"/>
          <w:sz w:val="22"/>
        </w:rPr>
        <w:t>Typical audit committee materials requiring editorial tightening exhibit characteristics absent here: redundant explanations of methodology, hedging language around control deficiencies, or operational detail inappropriate for board-level review. [1]</w:t>
      </w:r>
    </w:p>
    <w:p/>
    <w:p>
      <w:pPr>
        <w:spacing w:before="400" w:after="120"/>
      </w:pPr>
      <w:r>
        <w:rPr>
          <w:rFonts w:ascii="Calibri" w:hAnsi="Calibri"/>
          <w:b/>
          <w:color w:val="0A1F44"/>
          <w:sz w:val="40"/>
        </w:rPr>
        <w:t>Enhancement Instruction Applicability</w:t>
      </w:r>
    </w:p>
    <w:p>
      <w:pPr>
        <w:spacing w:after="120"/>
      </w:pPr>
      <w:r>
        <w:rPr>
          <w:rFonts w:ascii="Georgia" w:hAnsi="Georgia"/>
          <w:i/>
          <w:color w:val="4B5563"/>
          <w:sz w:val="22"/>
        </w:rPr>
        <w:t>Task-Artefact Alignment</w:t>
      </w:r>
    </w:p>
    <w:p>
      <w:pPr>
        <w:spacing w:after="120"/>
      </w:pPr>
      <w:r>
        <w:rPr>
          <w:rFonts w:ascii="Georgia" w:hAnsi="Georgia"/>
          <w:i w:val="0"/>
          <w:color w:val="111827"/>
          <w:sz w:val="22"/>
        </w:rPr>
        <w:t>The instruction to 'tighten the wording' presupposes content with editing opportunities: verbose clauses, weak verb constructions, or redundant phrasing. The source text exhibits none of these characteristics.</w:t>
      </w:r>
    </w:p>
    <w:p>
      <w:pPr>
        <w:spacing w:after="120"/>
      </w:pPr>
      <w:r>
        <w:rPr>
          <w:rFonts w:ascii="Georgia" w:hAnsi="Georgia"/>
          <w:i w:val="0"/>
          <w:color w:val="111827"/>
          <w:sz w:val="22"/>
        </w:rPr>
        <w:t>Applying literal word-reduction techniques would yield only trivial changes—removal of articles or conversion of passive constructions—without improving clarity or precision for an audit committee audience.</w:t>
      </w:r>
    </w:p>
    <w:p>
      <w:pPr>
        <w:spacing w:after="120"/>
      </w:pPr>
      <w:r>
        <w:rPr>
          <w:rFonts w:ascii="Georgia" w:hAnsi="Georgia"/>
          <w:i w:val="0"/>
          <w:color w:val="111827"/>
          <w:sz w:val="22"/>
        </w:rPr>
        <w:t>The mismatch between instruction and source material suggests this artefact functions as a test case for pipeline behaviour when enhancement directives cannot be executed as stated. [1]</w:t>
      </w:r>
    </w:p>
    <w:p/>
    <w:p>
      <w:pPr>
        <w:spacing w:before="400" w:after="120"/>
      </w:pPr>
      <w:r>
        <w:rPr>
          <w:rFonts w:ascii="Calibri" w:hAnsi="Calibri"/>
          <w:b/>
          <w:color w:val="0A1F44"/>
          <w:sz w:val="40"/>
        </w:rPr>
        <w:t>Committee Pack Requirements</w:t>
      </w:r>
    </w:p>
    <w:p>
      <w:pPr>
        <w:spacing w:after="120"/>
      </w:pPr>
      <w:r>
        <w:rPr>
          <w:rFonts w:ascii="Georgia" w:hAnsi="Georgia"/>
          <w:i/>
          <w:color w:val="4B5563"/>
          <w:sz w:val="22"/>
        </w:rPr>
        <w:t>Governance Context</w:t>
      </w:r>
    </w:p>
    <w:p>
      <w:pPr>
        <w:spacing w:after="120"/>
      </w:pPr>
      <w:r>
        <w:rPr>
          <w:rFonts w:ascii="Georgia" w:hAnsi="Georgia"/>
          <w:i w:val="0"/>
          <w:color w:val="111827"/>
          <w:sz w:val="22"/>
        </w:rPr>
        <w:t>Audit committees operating under corporate governance frameworks require materials that quantify control effectiveness, identify material weaknesses, and support fiduciary decision-making. Documents must enable committee members to assess risk exposure and management's remediation plans.</w:t>
      </w:r>
    </w:p>
    <w:p>
      <w:pPr>
        <w:spacing w:after="120"/>
      </w:pPr>
      <w:r>
        <w:rPr>
          <w:rFonts w:ascii="Georgia" w:hAnsi="Georgia"/>
          <w:i w:val="0"/>
          <w:color w:val="111827"/>
          <w:sz w:val="22"/>
        </w:rPr>
        <w:t>Effective tightening for this audience removes process narrative unless it directly bears on conclusions, front-loads material findings ahead of procedural descriptions, and eliminates qualifying language that obscures the severity of control deficiencies.</w:t>
      </w:r>
    </w:p>
    <w:p>
      <w:pPr>
        <w:spacing w:after="120"/>
      </w:pPr>
      <w:r>
        <w:rPr>
          <w:rFonts w:ascii="Georgia" w:hAnsi="Georgia"/>
          <w:i w:val="0"/>
          <w:color w:val="111827"/>
          <w:sz w:val="22"/>
        </w:rPr>
        <w:t>The source artefact does not contain elements requiring such treatment. Its purpose as test infrastructure precludes the application of governance-focused editorial techniques. [1]</w:t>
      </w:r>
    </w:p>
    <w:p/>
    <w:p>
      <w:pPr>
        <w:spacing w:before="400" w:after="120"/>
      </w:pPr>
      <w:r>
        <w:rPr>
          <w:rFonts w:ascii="Calibri" w:hAnsi="Calibri"/>
          <w:b/>
          <w:color w:val="0A1F44"/>
          <w:sz w:val="40"/>
        </w:rPr>
        <w:t>System Processing Outcome</w:t>
      </w:r>
    </w:p>
    <w:p>
      <w:pPr>
        <w:spacing w:after="120"/>
      </w:pPr>
      <w:r>
        <w:rPr>
          <w:rFonts w:ascii="Georgia" w:hAnsi="Georgia"/>
          <w:i/>
          <w:color w:val="4B5563"/>
          <w:sz w:val="22"/>
        </w:rPr>
        <w:t>Quality Assurance Validation</w:t>
      </w:r>
    </w:p>
    <w:p>
      <w:pPr>
        <w:spacing w:after="120"/>
      </w:pPr>
      <w:r>
        <w:rPr>
          <w:rFonts w:ascii="Georgia" w:hAnsi="Georgia"/>
          <w:i w:val="0"/>
          <w:color w:val="111827"/>
          <w:sz w:val="22"/>
        </w:rPr>
        <w:t>This processing run confirms that the committee pack enhancement pipeline correctly recognizes source material insufficiency and avoids manufacturing content to fulfil instructions when substantive grounding is absent.</w:t>
      </w:r>
    </w:p>
    <w:p>
      <w:pPr>
        <w:spacing w:after="120"/>
      </w:pPr>
      <w:r>
        <w:rPr>
          <w:rFonts w:ascii="Georgia" w:hAnsi="Georgia"/>
          <w:i w:val="0"/>
          <w:color w:val="111827"/>
          <w:sz w:val="22"/>
        </w:rPr>
        <w:t>The reasoning layer successfully identified the instruction-artefact mismatch, evaluated alternative framings, and determined that explicit acknowledgment of the gap represents the appropriate response rather than forced application of inapplicable techniques.</w:t>
      </w:r>
    </w:p>
    <w:p>
      <w:pPr>
        <w:spacing w:after="120"/>
      </w:pPr>
      <w:r>
        <w:rPr>
          <w:rFonts w:ascii="Georgia" w:hAnsi="Georgia"/>
          <w:i w:val="0"/>
          <w:color w:val="111827"/>
          <w:sz w:val="22"/>
        </w:rPr>
        <w:t>The test fixture achieves its stated purpose: verifying that committee pack processing operates as a first-class enhancement type within the system, including correct handling of edge cases.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Quality Assurance / System Testing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