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Q4 2026 Audit Committee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2026-05-07  ·  07 May 2026 · 05:24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17%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Covenant headroom review</w:t>
      </w:r>
    </w:p>
    <w:p>
      <w:r>
        <w:rPr>
          <w:rFonts w:ascii="Calibri" w:hAnsi="Calibri"/>
          <w:color w:val="111827"/>
          <w:sz w:val="22"/>
        </w:rPr>
        <w:t>02.  Counterparty concentration</w:t>
      </w:r>
    </w:p>
    <w:p>
      <w:r>
        <w:rPr>
          <w:rFonts w:ascii="Calibri" w:hAnsi="Calibri"/>
          <w:color w:val="111827"/>
          <w:sz w:val="22"/>
        </w:rPr>
        <w:t>03.  Operational resilience update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Covenant headroom review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Counterparty concentration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Operational resilience update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Q4 covenant headroom note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Counterparty draft TBC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