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Board Minutes — Date Not Specified</w:t>
      </w:r>
    </w:p>
    <w:p>
      <w:r>
        <w:rPr>
          <w:rFonts w:ascii="Georgia" w:hAnsi="Georgia"/>
          <w:i/>
          <w:color w:val="4B5563"/>
          <w:sz w:val="30"/>
        </w:rPr>
        <w:t>Attendees not recorded</w:t>
      </w:r>
    </w:p>
    <w:p>
      <w:pPr>
        <w:spacing w:before="400"/>
      </w:pPr>
      <w:r>
        <w:rPr>
          <w:rFonts w:ascii="Calibri" w:hAnsi="Calibri"/>
          <w:color w:val="4B5563"/>
          <w:sz w:val="20"/>
        </w:rPr>
        <w:t>Prepared for Board  ·  Not specified  ·  04 Jun 2026 · 13:34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Board convened to review and approve the Q1 plan and agreed to schedule a follow-up review. The meeting resulted in two formal decisions. These minutes lack attendee identification, discussion context, and detail regarding the plan's content, which limits the ability to conduct substantive risk assessment.</w:t>
      </w:r>
    </w:p>
    <w:p>
      <w:r>
        <w:br w:type="page"/>
      </w:r>
    </w:p>
    <w:p>
      <w:pPr>
        <w:spacing w:before="400" w:after="120"/>
      </w:pPr>
      <w:r>
        <w:rPr>
          <w:rFonts w:ascii="Calibri" w:hAnsi="Calibri"/>
          <w:b/>
          <w:color w:val="0A1F44"/>
          <w:sz w:val="40"/>
        </w:rPr>
        <w:t>Index</w:t>
      </w:r>
    </w:p>
    <w:p>
      <w:r>
        <w:rPr>
          <w:rFonts w:ascii="Calibri" w:hAnsi="Calibri"/>
          <w:color w:val="111827"/>
          <w:sz w:val="22"/>
        </w:rPr>
        <w:t>01.  Q1 Plan Approval</w:t>
      </w:r>
    </w:p>
    <w:p>
      <w:r>
        <w:rPr>
          <w:rFonts w:ascii="Calibri" w:hAnsi="Calibri"/>
          <w:color w:val="111827"/>
          <w:sz w:val="22"/>
        </w:rPr>
        <w:t>02.  Review Scheduling</w:t>
      </w:r>
    </w:p>
    <w:p>
      <w:r>
        <w:rPr>
          <w:rFonts w:ascii="Calibri" w:hAnsi="Calibri"/>
          <w:color w:val="111827"/>
          <w:sz w:val="22"/>
        </w:rPr>
        <w:t>03.  Risks</w:t>
      </w:r>
    </w:p>
    <w:p>
      <w:r>
        <w:br w:type="page"/>
      </w:r>
    </w:p>
    <w:p>
      <w:pPr>
        <w:spacing w:before="400" w:after="120"/>
      </w:pPr>
      <w:r>
        <w:rPr>
          <w:rFonts w:ascii="Calibri" w:hAnsi="Calibri"/>
          <w:b/>
          <w:color w:val="0A1F44"/>
          <w:sz w:val="40"/>
        </w:rPr>
        <w:t>Q1 Plan Approval</w:t>
      </w:r>
    </w:p>
    <w:p>
      <w:pPr>
        <w:spacing w:after="120"/>
      </w:pPr>
      <w:r>
        <w:rPr>
          <w:rFonts w:ascii="Georgia" w:hAnsi="Georgia"/>
          <w:i w:val="0"/>
          <w:color w:val="111827"/>
          <w:sz w:val="22"/>
        </w:rPr>
        <w:t>The Board approved the Q1 plan as presented. [1]</w:t>
      </w:r>
    </w:p>
    <w:p>
      <w:pPr>
        <w:spacing w:before="160" w:after="160"/>
        <w:ind w:left="720" w:right="720"/>
      </w:pPr>
      <w:r>
        <w:rPr>
          <w:rFonts w:ascii="Georgia" w:hAnsi="Georgia"/>
          <w:i/>
          <w:color w:val="0A1F44"/>
          <w:sz w:val="26"/>
        </w:rPr>
        <w:t>“Approve Q1 plan.”</w:t>
      </w:r>
    </w:p>
    <w:p/>
    <w:p>
      <w:pPr>
        <w:spacing w:before="400" w:after="120"/>
      </w:pPr>
      <w:r>
        <w:rPr>
          <w:rFonts w:ascii="Calibri" w:hAnsi="Calibri"/>
          <w:b/>
          <w:color w:val="0A1F44"/>
          <w:sz w:val="40"/>
        </w:rPr>
        <w:t>Review Scheduling</w:t>
      </w:r>
    </w:p>
    <w:p>
      <w:pPr>
        <w:spacing w:after="120"/>
      </w:pPr>
      <w:r>
        <w:rPr>
          <w:rFonts w:ascii="Georgia" w:hAnsi="Georgia"/>
          <w:i w:val="0"/>
          <w:color w:val="111827"/>
          <w:sz w:val="22"/>
        </w:rPr>
        <w:t>The Board agreed to schedule a subsequent review meeting. The timing, scope, and responsible party for arranging this review were not documented. [1]</w:t>
      </w:r>
    </w:p>
    <w:p>
      <w:pPr>
        <w:spacing w:before="160" w:after="160"/>
        <w:ind w:left="720" w:right="720"/>
      </w:pPr>
      <w:r>
        <w:rPr>
          <w:rFonts w:ascii="Georgia" w:hAnsi="Georgia"/>
          <w:i/>
          <w:color w:val="0A1F44"/>
          <w:sz w:val="26"/>
        </w:rPr>
        <w:t>“Schedule next review.”</w:t>
      </w:r>
    </w:p>
    <w:p/>
    <w:p>
      <w:pPr>
        <w:spacing w:before="400" w:after="120"/>
      </w:pPr>
      <w:r>
        <w:rPr>
          <w:rFonts w:ascii="Calibri" w:hAnsi="Calibri"/>
          <w:b/>
          <w:color w:val="0A1F44"/>
          <w:sz w:val="40"/>
        </w:rPr>
        <w:t>Risks</w:t>
      </w:r>
    </w:p>
    <w:p>
      <w:pPr>
        <w:spacing w:after="120"/>
      </w:pPr>
      <w:r>
        <w:rPr>
          <w:rFonts w:ascii="Georgia" w:hAnsi="Georgia"/>
          <w:i w:val="0"/>
          <w:color w:val="111827"/>
          <w:sz w:val="22"/>
        </w:rPr>
        <w:t>The source minutes do not contain sufficient detail to perform substantive risk analysis. No discussion of plan assumptions, dependencies, resource constraints, or external factors was recorded. This absence creates a governance gap: decisions taken without documented risk assessment may expose the organisation to unexamined vulnerabilities.</w:t>
      </w:r>
    </w:p>
    <w:p>
      <w:pPr>
        <w:spacing w:after="120"/>
      </w:pPr>
      <w:r>
        <w:rPr>
          <w:rFonts w:ascii="Georgia" w:hAnsi="Georgia"/>
          <w:i w:val="0"/>
          <w:color w:val="111827"/>
          <w:sz w:val="22"/>
        </w:rPr>
        <w:t>Standard risk categories for Q1 planning typically include execution capacity, market assumptions, budget adequacy, timeline feasibility, and organisational alignment. Without specifics on the approved plan's content—such as revenue targets, headcount changes, product commitments, or capital allocation—these categories cannot be meaningfully populated.</w:t>
      </w:r>
    </w:p>
    <w:p>
      <w:pPr>
        <w:spacing w:after="120"/>
      </w:pPr>
      <w:r>
        <w:rPr>
          <w:rFonts w:ascii="Georgia" w:hAnsi="Georgia"/>
          <w:i w:val="0"/>
          <w:color w:val="111827"/>
          <w:sz w:val="22"/>
        </w:rPr>
        <w:t>The primary identifiable risk is procedural: approval granted without captured debate or documented risk review may indicate either that substantive discussion occurred but was not minuted, or that the decision was taken without thorough examination. Both scenarios present governance concerns.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Board Secretary to ensure future minutes record attendees, quorum status, and summarise discussion preceding each decision</w:t>
      </w:r>
    </w:p>
    <w:p>
      <w:pPr>
        <w:spacing w:after="80"/>
      </w:pPr>
      <w:r>
        <w:rPr>
          <w:rFonts w:ascii="Calibri" w:hAnsi="Calibri"/>
          <w:b/>
          <w:color w:val="8B2E2B"/>
          <w:sz w:val="22"/>
        </w:rPr>
        <w:t xml:space="preserve">2.  </w:t>
      </w:r>
      <w:r>
        <w:rPr>
          <w:rFonts w:ascii="Georgia" w:hAnsi="Georgia"/>
          <w:color w:val="111827"/>
          <w:sz w:val="22"/>
        </w:rPr>
        <w:t>Board Secretary to attach or reference supporting documents for decisions requiring approval, enabling subsequent audit and risk traceability</w:t>
      </w:r>
    </w:p>
    <w:p>
      <w:pPr>
        <w:spacing w:after="80"/>
      </w:pPr>
      <w:r>
        <w:rPr>
          <w:rFonts w:ascii="Calibri" w:hAnsi="Calibri"/>
          <w:b/>
          <w:color w:val="8B2E2B"/>
          <w:sz w:val="22"/>
        </w:rPr>
        <w:t xml:space="preserve">3.  </w:t>
      </w:r>
      <w:r>
        <w:rPr>
          <w:rFonts w:ascii="Georgia" w:hAnsi="Georgia"/>
          <w:color w:val="111827"/>
          <w:sz w:val="22"/>
        </w:rPr>
        <w:t>Responsible party to schedule the agreed follow-up review within 30 days and circulate proposed agenda in advance</w:t>
      </w:r>
    </w:p>
    <w:p>
      <w:pPr>
        <w:spacing w:after="80"/>
      </w:pPr>
      <w:r>
        <w:rPr>
          <w:rFonts w:ascii="Calibri" w:hAnsi="Calibri"/>
          <w:b/>
          <w:color w:val="8B2E2B"/>
          <w:sz w:val="22"/>
        </w:rPr>
        <w:t xml:space="preserve">4.  </w:t>
      </w:r>
      <w:r>
        <w:rPr>
          <w:rFonts w:ascii="Georgia" w:hAnsi="Georgia"/>
          <w:color w:val="111827"/>
          <w:sz w:val="22"/>
        </w:rPr>
        <w:t>Finance or Operations lead to prepare risk register for Q1 plan, identifying key assumptions and mitigation strategies for next Board review</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minutes_p5.txt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Board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