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 — Q1 Planning Session</w:t>
      </w:r>
    </w:p>
    <w:p>
      <w:r>
        <w:rPr>
          <w:rFonts w:ascii="Georgia" w:hAnsi="Georgia"/>
          <w:i/>
          <w:color w:val="4B5563"/>
          <w:sz w:val="30"/>
        </w:rPr>
        <w:t>Attendees: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Board  ·  Q1 Planning Session  ·  04 Jun 2026 · 13:26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and approve the Q1 operational plan. Following discussion, the plan received unanimous approval. The Board scheduled a follow-up review session to assess progress against approved objectives.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Next Review</w:t>
      </w:r>
    </w:p>
    <w:p>
      <w:r>
        <w:rPr>
          <w:rFonts w:ascii="Calibri" w:hAnsi="Calibri"/>
          <w:color w:val="111827"/>
          <w:sz w:val="22"/>
        </w:rPr>
        <w:t>03.  Risk Considerations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reviewed the proposed Q1 plan covering operational priorities and resource allocation for the quarter.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After consideration, the Board approved the Q1 plan as presented.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Next Review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To maintain oversight of execution, the Board agreed to schedule a follow-up review session to assess progress against Q1 objectives.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 Considerations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Areas for Ongoing Monitoring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following risk areas warrant ongoing monitoring in relation to the approved Q1 plan: execution risk related to delivery of planned initiatives within the quarter; resource adequacy to support concurrent workstreams; dependency management where plan elements rely on external factors or sequential completion; and timeline compression risk if unforeseen delays emerge. These areas should be assessed during the scheduled review session.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Board Secretary — circulate confirmed date for Q1 progress review session by within 5 business days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Management — prepare progress report against Q1 plan objectives for review session by prior to scheduled review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Board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