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Calibri" w:hAnsi="Calibri"/>
          <w:b/>
          <w:color w:val="F7F3EA"/>
          <w:sz w:val="16"/>
          <w:shd w:val="clear" w:color="auto" w:fill="0A1F44"/>
        </w:rPr>
        <w:t xml:space="preserve">  CLASSIFICATION  ·  INTERNAL  </w:t>
      </w:r>
    </w:p>
    <w:p>
      <w:pPr>
        <w:spacing w:before="1600"/>
      </w:pPr>
      <w:r>
        <w:rPr>
          <w:rFonts w:ascii="Georgia" w:hAnsi="Georgia"/>
          <w:b/>
          <w:color w:val="0A1F44"/>
          <w:sz w:val="64"/>
        </w:rPr>
        <w:t>Board Minutes</w:t>
      </w:r>
    </w:p>
    <w:p>
      <w:r>
        <w:rPr>
          <w:rFonts w:ascii="Georgia" w:hAnsi="Georgia"/>
          <w:i/>
          <w:color w:val="4B5563"/>
          <w:sz w:val="30"/>
        </w:rPr>
        <w:t>Attendees not recorded</w:t>
      </w:r>
    </w:p>
    <w:p>
      <w:pPr>
        <w:spacing w:before="400"/>
      </w:pPr>
      <w:r>
        <w:rPr>
          <w:rFonts w:ascii="Calibri" w:hAnsi="Calibri"/>
          <w:color w:val="4B5563"/>
          <w:sz w:val="20"/>
        </w:rPr>
        <w:t>Prepared for Board  ·  Not specified  ·  04 Jun 2026 · 13:12 UTC</w:t>
      </w:r>
    </w:p>
    <w:p>
      <w:r>
        <w:br w:type="page"/>
      </w:r>
    </w:p>
    <w:p>
      <w:pPr>
        <w:spacing w:before="400" w:after="120"/>
      </w:pPr>
      <w:r>
        <w:rPr>
          <w:rFonts w:ascii="Calibri" w:hAnsi="Calibri"/>
          <w:b/>
          <w:color w:val="0A1F44"/>
          <w:sz w:val="40"/>
        </w:rPr>
        <w:t>Executive summary</w:t>
      </w:r>
    </w:p>
    <w:p>
      <w:pPr>
        <w:spacing w:after="120"/>
      </w:pPr>
      <w:r>
        <w:rPr>
          <w:rFonts w:ascii="Georgia" w:hAnsi="Georgia"/>
          <w:i w:val="0"/>
          <w:color w:val="111827"/>
          <w:sz w:val="22"/>
        </w:rPr>
        <w:t>The board approved the Q1 plan and scheduled the next review. These minutes capture decisions only; discussion details and attendee information were not recorded.</w:t>
      </w:r>
    </w:p>
    <w:p>
      <w:r>
        <w:br w:type="page"/>
      </w:r>
    </w:p>
    <w:p>
      <w:pPr>
        <w:spacing w:before="400" w:after="120"/>
      </w:pPr>
      <w:r>
        <w:rPr>
          <w:rFonts w:ascii="Calibri" w:hAnsi="Calibri"/>
          <w:b/>
          <w:color w:val="0A1F44"/>
          <w:sz w:val="40"/>
        </w:rPr>
        <w:t>Index</w:t>
      </w:r>
    </w:p>
    <w:p>
      <w:r>
        <w:rPr>
          <w:rFonts w:ascii="Calibri" w:hAnsi="Calibri"/>
          <w:color w:val="111827"/>
          <w:sz w:val="22"/>
        </w:rPr>
        <w:t>01.  Decisions</w:t>
      </w:r>
    </w:p>
    <w:p>
      <w:r>
        <w:rPr>
          <w:rFonts w:ascii="Calibri" w:hAnsi="Calibri"/>
          <w:color w:val="111827"/>
          <w:sz w:val="22"/>
        </w:rPr>
        <w:t>02.  Risks</w:t>
      </w:r>
    </w:p>
    <w:p>
      <w:r>
        <w:br w:type="page"/>
      </w:r>
    </w:p>
    <w:p>
      <w:pPr>
        <w:spacing w:before="400" w:after="120"/>
      </w:pPr>
      <w:r>
        <w:rPr>
          <w:rFonts w:ascii="Calibri" w:hAnsi="Calibri"/>
          <w:b/>
          <w:color w:val="0A1F44"/>
          <w:sz w:val="40"/>
        </w:rPr>
        <w:t>Decisions</w:t>
      </w:r>
    </w:p>
    <w:p>
      <w:pPr>
        <w:spacing w:after="120"/>
      </w:pPr>
      <w:r>
        <w:rPr>
          <w:rFonts w:ascii="Georgia" w:hAnsi="Georgia"/>
          <w:i w:val="0"/>
          <w:color w:val="111827"/>
          <w:sz w:val="22"/>
        </w:rPr>
        <w:t>The board approved the Q1 plan as presented.</w:t>
      </w:r>
    </w:p>
    <w:p>
      <w:pPr>
        <w:spacing w:after="120"/>
      </w:pPr>
      <w:r>
        <w:rPr>
          <w:rFonts w:ascii="Georgia" w:hAnsi="Georgia"/>
          <w:i w:val="0"/>
          <w:color w:val="111827"/>
          <w:sz w:val="22"/>
        </w:rPr>
        <w:t>The board scheduled the next review meeting. [1]</w:t>
      </w:r>
    </w:p>
    <w:p/>
    <w:p>
      <w:pPr>
        <w:spacing w:before="400" w:after="120"/>
      </w:pPr>
      <w:r>
        <w:rPr>
          <w:rFonts w:ascii="Calibri" w:hAnsi="Calibri"/>
          <w:b/>
          <w:color w:val="0A1F44"/>
          <w:sz w:val="40"/>
        </w:rPr>
        <w:t>Risks</w:t>
      </w:r>
    </w:p>
    <w:p>
      <w:pPr>
        <w:spacing w:after="120"/>
      </w:pPr>
      <w:r>
        <w:rPr>
          <w:rFonts w:ascii="Georgia" w:hAnsi="Georgia"/>
          <w:i/>
          <w:color w:val="4B5563"/>
          <w:sz w:val="22"/>
        </w:rPr>
        <w:t>Documentation incomplete</w:t>
      </w:r>
    </w:p>
    <w:p>
      <w:pPr>
        <w:spacing w:after="120"/>
      </w:pPr>
      <w:r>
        <w:rPr>
          <w:rFonts w:ascii="Georgia" w:hAnsi="Georgia"/>
          <w:i w:val="0"/>
          <w:color w:val="111827"/>
          <w:sz w:val="22"/>
        </w:rPr>
        <w:t>Risk discussion was not captured in these minutes. Complete board risk documentation would typically address execution risks associated with the approved Q1 plan, governance risks related to review cadence and oversight effectiveness, and any material risks to strategy or operations raised during discussion.</w:t>
      </w:r>
    </w:p>
    <w:p>
      <w:pPr>
        <w:spacing w:after="120"/>
      </w:pPr>
      <w:r>
        <w:rPr>
          <w:rFonts w:ascii="Georgia" w:hAnsi="Georgia"/>
          <w:i w:val="0"/>
          <w:color w:val="111827"/>
          <w:sz w:val="22"/>
        </w:rPr>
        <w:t>Future minutes should record: identified risks with severity and likelihood assessments, mitigation strategies assigned to specific owners, changes to the risk register, and any risks accepted or transferred by board decision.</w:t>
      </w:r>
    </w:p>
    <w:p/>
    <w:p>
      <w:r>
        <w:br w:type="page"/>
      </w:r>
    </w:p>
    <w:p>
      <w:pPr>
        <w:spacing w:before="400" w:after="120"/>
      </w:pPr>
      <w:r>
        <w:rPr>
          <w:rFonts w:ascii="Calibri" w:hAnsi="Calibri"/>
          <w:b/>
          <w:color w:val="0A1F44"/>
          <w:sz w:val="40"/>
        </w:rPr>
        <w:t>Sources</w:t>
      </w:r>
    </w:p>
    <w:p>
      <w:pPr>
        <w:spacing w:after="60"/>
      </w:pPr>
      <w:r>
        <w:rPr>
          <w:rFonts w:ascii="Calibri" w:hAnsi="Calibri"/>
          <w:b/>
          <w:color w:val="8B2E2B"/>
          <w:sz w:val="20"/>
        </w:rPr>
        <w:t xml:space="preserve">[1]  </w:t>
      </w:r>
      <w:r>
        <w:rPr>
          <w:rFonts w:ascii="Georgia" w:hAnsi="Georgia"/>
          <w:color w:val="111827"/>
          <w:sz w:val="20"/>
        </w:rPr>
        <w:t>minutes_p5.txt</w:t>
      </w:r>
    </w:p>
    <w:sectPr w:rsidR="00FC693F" w:rsidRPr="0006063C" w:rsidSect="00034616">
      <w:footerReference w:type="default" r:id="rId9"/>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B5563"/>
        <w:sz w:val="16"/>
      </w:rPr>
      <w:t xml:space="preserve">  AKKI  ·  Board  ·  Internal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11827"/>
      <w:sz w:val="22"/>
      <w:rFonts w:ascii="Georgia" w:hAnsi="Georgia" w:eastAsia="Georgi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