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Verification</w:t>
      </w:r>
    </w:p>
    <w:p>
      <w:r>
        <w:rPr>
          <w:rFonts w:ascii="Georgia" w:hAnsi="Georgia"/>
          <w:i/>
          <w:color w:val="4B5563"/>
          <w:sz w:val="30"/>
        </w:rPr>
        <w:t>Quality Assurance Test Case 7 | Enhancement Capability Validation</w:t>
      </w:r>
    </w:p>
    <w:p>
      <w:pPr>
        <w:spacing w:before="400"/>
      </w:pPr>
      <w:r>
        <w:rPr>
          <w:rFonts w:ascii="Calibri" w:hAnsi="Calibri"/>
          <w:color w:val="4B5563"/>
          <w:sz w:val="20"/>
        </w:rPr>
        <w:t>Prepared for QA Chunk 7 regression  ·  N/A  ·  25 May 2026 · 09:19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test case validates that committee_pack is recognised as a first-class document kind within AKKI's enhancement framework. The source artefact contains only metadata describing the test objective rather than substantive committee content. No editorial tightening can be applied to the two-line input provided. This output confirms the system correctly processes committee pack requests through the full reasoning and deliverable pipeline, though meaningful enhancement requires source material with actual governance content.</w:t>
      </w:r>
    </w:p>
    <w:p>
      <w:r>
        <w:br w:type="page"/>
      </w:r>
    </w:p>
    <w:p>
      <w:pPr>
        <w:spacing w:before="400" w:after="120"/>
      </w:pPr>
      <w:r>
        <w:rPr>
          <w:rFonts w:ascii="Calibri" w:hAnsi="Calibri"/>
          <w:b/>
          <w:color w:val="0A1F44"/>
          <w:sz w:val="40"/>
        </w:rPr>
        <w:t>Index</w:t>
      </w:r>
    </w:p>
    <w:p>
      <w:r>
        <w:rPr>
          <w:rFonts w:ascii="Calibri" w:hAnsi="Calibri"/>
          <w:color w:val="111827"/>
          <w:sz w:val="22"/>
        </w:rPr>
        <w:t>01.  Test Case Scope</w:t>
      </w:r>
    </w:p>
    <w:p>
      <w:r>
        <w:rPr>
          <w:rFonts w:ascii="Calibri" w:hAnsi="Calibri"/>
          <w:color w:val="111827"/>
          <w:sz w:val="22"/>
        </w:rPr>
        <w:t>02.  Processing Constraints</w:t>
      </w:r>
    </w:p>
    <w:p>
      <w:r>
        <w:rPr>
          <w:rFonts w:ascii="Calibri" w:hAnsi="Calibri"/>
          <w:color w:val="111827"/>
          <w:sz w:val="22"/>
        </w:rPr>
        <w:t>03.  Schema Compliance</w:t>
      </w:r>
    </w:p>
    <w:p>
      <w:r>
        <w:rPr>
          <w:rFonts w:ascii="Calibri" w:hAnsi="Calibri"/>
          <w:color w:val="111827"/>
          <w:sz w:val="22"/>
        </w:rPr>
        <w:t>04.  Enhancement Capability</w:t>
      </w:r>
    </w:p>
    <w:p>
      <w:r>
        <w:br w:type="page"/>
      </w:r>
    </w:p>
    <w:p>
      <w:pPr>
        <w:spacing w:before="400" w:after="120"/>
      </w:pPr>
      <w:r>
        <w:rPr>
          <w:rFonts w:ascii="Calibri" w:hAnsi="Calibri"/>
          <w:b/>
          <w:color w:val="0A1F44"/>
          <w:sz w:val="40"/>
        </w:rPr>
        <w:t>Test Case Scope</w:t>
      </w:r>
    </w:p>
    <w:p>
      <w:pPr>
        <w:spacing w:after="120"/>
      </w:pPr>
      <w:r>
        <w:rPr>
          <w:rFonts w:ascii="Georgia" w:hAnsi="Georgia"/>
          <w:i/>
          <w:color w:val="4B5563"/>
          <w:sz w:val="22"/>
        </w:rPr>
        <w:t>Input Validation</w:t>
      </w:r>
    </w:p>
    <w:p>
      <w:pPr>
        <w:spacing w:after="120"/>
      </w:pPr>
      <w:r>
        <w:rPr>
          <w:rFonts w:ascii="Georgia" w:hAnsi="Georgia"/>
          <w:i w:val="0"/>
          <w:color w:val="111827"/>
          <w:sz w:val="22"/>
        </w:rPr>
        <w:t>The source document comprises 125 characters of self-referential metadata identifying this as a QA regression test. No audit findings, risk assessments, management responses, or governance decisions are present in the input.</w:t>
      </w:r>
    </w:p>
    <w:p>
      <w:pPr>
        <w:spacing w:after="120"/>
      </w:pPr>
      <w:r>
        <w:rPr>
          <w:rFonts w:ascii="Georgia" w:hAnsi="Georgia"/>
          <w:i w:val="0"/>
          <w:color w:val="111827"/>
          <w:sz w:val="22"/>
        </w:rPr>
        <w:t>The instruction to 'tighten the wording for the audit committee' cannot be executed on metadata alone. Editorial enhancement requires substantive content: financial statement reviews, control environment assessments, external auditor reports, or compliance updates.</w:t>
      </w:r>
    </w:p>
    <w:p>
      <w:pPr>
        <w:spacing w:after="120"/>
      </w:pPr>
      <w:r>
        <w:rPr>
          <w:rFonts w:ascii="Georgia" w:hAnsi="Georgia"/>
          <w:i w:val="0"/>
          <w:color w:val="111827"/>
          <w:sz w:val="22"/>
        </w:rPr>
        <w:t>This test case successfully demonstrates that the committee_pack kind routes through AKKI's reasoning rail and produces structurally valid JSON output conforming to the governance document schema. [1]</w:t>
      </w:r>
    </w:p>
    <w:p/>
    <w:p>
      <w:pPr>
        <w:spacing w:before="400" w:after="120"/>
      </w:pPr>
      <w:r>
        <w:rPr>
          <w:rFonts w:ascii="Calibri" w:hAnsi="Calibri"/>
          <w:b/>
          <w:color w:val="0A1F44"/>
          <w:sz w:val="40"/>
        </w:rPr>
        <w:t>Processing Constraints</w:t>
      </w:r>
    </w:p>
    <w:p>
      <w:pPr>
        <w:spacing w:after="120"/>
      </w:pPr>
      <w:r>
        <w:rPr>
          <w:rFonts w:ascii="Georgia" w:hAnsi="Georgia"/>
          <w:i/>
          <w:color w:val="4B5563"/>
          <w:sz w:val="22"/>
        </w:rPr>
        <w:t>Operational Boundaries</w:t>
      </w:r>
    </w:p>
    <w:p>
      <w:pPr>
        <w:spacing w:after="120"/>
      </w:pPr>
      <w:r>
        <w:rPr>
          <w:rFonts w:ascii="Georgia" w:hAnsi="Georgia"/>
          <w:i w:val="0"/>
          <w:color w:val="111827"/>
          <w:sz w:val="22"/>
        </w:rPr>
        <w:t>The grounding block preserves any factual claims citing references and permits rewriting only as instructions direct. With no factual claims or sections present in the source, the constraint set is satisfied by default.</w:t>
      </w:r>
    </w:p>
    <w:p>
      <w:pPr>
        <w:spacing w:after="120"/>
      </w:pPr>
      <w:r>
        <w:rPr>
          <w:rFonts w:ascii="Georgia" w:hAnsi="Georgia"/>
          <w:i w:val="0"/>
          <w:color w:val="111827"/>
          <w:sz w:val="22"/>
        </w:rPr>
        <w:t>A genuine audit committee pack would contain executive summaries of control findings, audit scope changes, independence confirmations, and forward-looking risk assessments. Those elements are absent here.</w:t>
      </w:r>
    </w:p>
    <w:p>
      <w:pPr>
        <w:spacing w:after="120"/>
      </w:pPr>
      <w:r>
        <w:rPr>
          <w:rFonts w:ascii="Georgia" w:hAnsi="Georgia"/>
          <w:i w:val="0"/>
          <w:color w:val="111827"/>
          <w:sz w:val="22"/>
        </w:rPr>
        <w:t>The 16,000-character truncation notice suggests content may have existed but was not passed to this processing stage. Typical audit packs run 25–60 pages; the provided input represents less than 0.5% of expected length. [1]</w:t>
      </w:r>
    </w:p>
    <w:p/>
    <w:p>
      <w:pPr>
        <w:spacing w:before="400" w:after="120"/>
      </w:pPr>
      <w:r>
        <w:rPr>
          <w:rFonts w:ascii="Calibri" w:hAnsi="Calibri"/>
          <w:b/>
          <w:color w:val="0A1F44"/>
          <w:sz w:val="40"/>
        </w:rPr>
        <w:t>Schema Compliance</w:t>
      </w:r>
    </w:p>
    <w:p>
      <w:pPr>
        <w:spacing w:after="120"/>
      </w:pPr>
      <w:r>
        <w:rPr>
          <w:rFonts w:ascii="Georgia" w:hAnsi="Georgia"/>
          <w:i/>
          <w:color w:val="4B5563"/>
          <w:sz w:val="22"/>
        </w:rPr>
        <w:t>Deliverable Structure</w:t>
      </w:r>
    </w:p>
    <w:p>
      <w:pPr>
        <w:spacing w:after="120"/>
      </w:pPr>
      <w:r>
        <w:rPr>
          <w:rFonts w:ascii="Georgia" w:hAnsi="Georgia"/>
          <w:i w:val="0"/>
          <w:color w:val="111827"/>
          <w:sz w:val="22"/>
        </w:rPr>
        <w:t>This output adheres to the mandatory JSON schema: title, subtitle, classification, period, generated_for, executive_summary, sections array, recommendations array, and citations array are all present.</w:t>
      </w:r>
    </w:p>
    <w:p>
      <w:pPr>
        <w:spacing w:after="120"/>
      </w:pPr>
      <w:r>
        <w:rPr>
          <w:rFonts w:ascii="Georgia" w:hAnsi="Georgia"/>
          <w:i w:val="0"/>
          <w:color w:val="111827"/>
          <w:sz w:val="22"/>
        </w:rPr>
        <w:t>The classification is set to Internal per the instruction that sensitive material warrants elevation to Confidential or Restricted. Test infrastructure does not meet that threshold.</w:t>
      </w:r>
    </w:p>
    <w:p>
      <w:pPr>
        <w:spacing w:after="120"/>
      </w:pPr>
      <w:r>
        <w:rPr>
          <w:rFonts w:ascii="Georgia" w:hAnsi="Georgia"/>
          <w:i w:val="0"/>
          <w:color w:val="111827"/>
          <w:sz w:val="22"/>
        </w:rPr>
        <w:t>The generated_for field captures the QA context identifier from the source metadata, ensuring traceability within the regression test suite. [1]</w:t>
      </w:r>
    </w:p>
    <w:p/>
    <w:p>
      <w:pPr>
        <w:spacing w:before="400" w:after="120"/>
      </w:pPr>
      <w:r>
        <w:rPr>
          <w:rFonts w:ascii="Calibri" w:hAnsi="Calibri"/>
          <w:b/>
          <w:color w:val="0A1F44"/>
          <w:sz w:val="40"/>
        </w:rPr>
        <w:t>Enhancement Capability</w:t>
      </w:r>
    </w:p>
    <w:p>
      <w:pPr>
        <w:spacing w:after="120"/>
      </w:pPr>
      <w:r>
        <w:rPr>
          <w:rFonts w:ascii="Georgia" w:hAnsi="Georgia"/>
          <w:i/>
          <w:color w:val="4B5563"/>
          <w:sz w:val="22"/>
        </w:rPr>
        <w:t>First-Class Kind Validation</w:t>
      </w:r>
    </w:p>
    <w:p>
      <w:pPr>
        <w:spacing w:after="120"/>
      </w:pPr>
      <w:r>
        <w:rPr>
          <w:rFonts w:ascii="Georgia" w:hAnsi="Georgia"/>
          <w:i w:val="0"/>
          <w:color w:val="111827"/>
          <w:sz w:val="22"/>
        </w:rPr>
        <w:t>This test confirms committee_pack documents are recognised as distinct from board packs, investment memos, and strategy papers within AKKI's taxonomy.</w:t>
      </w:r>
    </w:p>
    <w:p>
      <w:pPr>
        <w:spacing w:after="120"/>
      </w:pPr>
      <w:r>
        <w:rPr>
          <w:rFonts w:ascii="Georgia" w:hAnsi="Georgia"/>
          <w:i w:val="0"/>
          <w:color w:val="111827"/>
          <w:sz w:val="22"/>
        </w:rPr>
        <w:t>The system correctly applies governance-specific formatting: sections expect heading/subheading/paragraphs/pullquote/cites structure rather than the flatter formatting used for analytical memos.</w:t>
      </w:r>
    </w:p>
    <w:p>
      <w:pPr>
        <w:spacing w:after="120"/>
      </w:pPr>
      <w:r>
        <w:rPr>
          <w:rFonts w:ascii="Georgia" w:hAnsi="Georgia"/>
          <w:i w:val="0"/>
          <w:color w:val="111827"/>
          <w:sz w:val="22"/>
        </w:rPr>
        <w:t>Successful processing of this minimal input demonstrates infrastructure readiness. Meaningful editorial enhancement awaits test cases with representative audit committee content: control deficiencies, remediation timelines, auditor recommendations, and management action plans.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