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F7F3EA"/>
          <w:sz w:val="16"/>
          <w:shd w:val="clear" w:color="auto" w:fill="0A1F44"/>
        </w:rPr>
        <w:t xml:space="preserve">  CLASSIFICATION  ·  INTERNAL  </w:t>
      </w:r>
    </w:p>
    <w:p>
      <w:pPr>
        <w:spacing w:before="1200" w:after="160"/>
      </w:pPr>
      <w:r>
        <w:rPr>
          <w:rFonts w:ascii="Georgia" w:hAnsi="Georgia"/>
          <w:b/>
          <w:color w:val="0A1F44"/>
          <w:sz w:val="56"/>
        </w:rPr>
        <w:t>Operating Position and Series C Readiness</w:t>
      </w:r>
    </w:p>
    <w:p>
      <w:pPr>
        <w:spacing w:after="80"/>
      </w:pPr>
      <w:r>
        <w:rPr>
          <w:rFonts w:ascii="Georgia" w:hAnsi="Georgia"/>
          <w:i/>
          <w:color w:val="4B5563"/>
          <w:sz w:val="28"/>
        </w:rPr>
        <w:t>Q4 Performance Review — Committee Brief</w:t>
      </w:r>
    </w:p>
    <w:p>
      <w:pPr>
        <w:spacing w:before="240"/>
      </w:pPr>
      <w:r>
        <w:rPr>
          <w:rFonts w:ascii="Calibri" w:hAnsi="Calibri"/>
          <w:color w:val="4B5563"/>
          <w:sz w:val="20"/>
        </w:rPr>
        <w:t>Prepared for Committee  ·  Q4  ·  04 Jun 2026 · 14:00 UTC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Executive summary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company closed Q4 with 31% ARR growth to $42.8m, but net revenue retention fell from 118% to 104%—the first sub-110% quarter in eight. The Rule of 40 stands at 3%, nineteen points below peer median, driven by front-loaded hiring costs and an eight-point pricing discount taken on Q3 renewals. Gross retention held at 92%, and top-of-funnel pipeline remains steady, but expansion revenue stalled: seat growth inside existing accounts flatlined, with three of the top-ten accounts contracting at renewal. With 15 months of runway and hiring paused since November, the company faces a credibility window ahead of Series C discussions. Management forecasts a rebase to 18% Rule of 40 by year-end if the Q1 plan executes, contingent on restoring pricing discipline.</w:t>
      </w:r>
    </w:p>
    <w:p/>
    <w:p>
      <w:pPr>
        <w:spacing w:before="280" w:after="120"/>
      </w:pPr>
      <w:r>
        <w:rPr>
          <w:rFonts w:ascii="Calibri" w:hAnsi="Calibri"/>
          <w:b/>
          <w:color w:val="0A1F44"/>
          <w:sz w:val="28"/>
        </w:rPr>
        <w:t>Growth and Retention Dynamics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ARR grew 31% year-on-year to $42.8m in Q4, maintaining topline momentum. Gross retention held at 92%, consistent with prior quarters. However, net revenue retention dropped fourteen points from 118% to 104%, marking the first time the metric has fallen below 110% in the past two years.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contraction is concentrated in expansion revenue. Seat growth inside existing customer accounts stalled during the quarter, and three of the top-ten accounts are now flat or shrinking at renewal. Top-of-funnel pipeline volume remains steady, indicating the weakness lies in existing customer expansion rather than new logo acquisition. [3]</w:t>
      </w:r>
    </w:p>
    <w:p>
      <w:pPr>
        <w:spacing w:before="280" w:after="120"/>
      </w:pPr>
      <w:r>
        <w:rPr>
          <w:rFonts w:ascii="Calibri" w:hAnsi="Calibri"/>
          <w:b/>
          <w:color w:val="0A1F44"/>
          <w:sz w:val="28"/>
        </w:rPr>
        <w:t>Profitability and Rule of 40 Position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company's Rule of 40 score stands at 3%: 31% growth offset by negative 28% margin. This places performance nineteen points below the peer median of 22%. Two factors drove the margin compression: hiring was front-loaded in H1 at higher blended cost than planned, and a pricing discount cohort from Q3 renewals—taken at eight points below list—will flow through financial results until Q2 of next year.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Management projects a rebase to 18% Rule of 40 by year-end if the Q1 operating plan executes without modification. However, the CFO warns that without sustained pricing discipline, the score will remain sub-10%. The company burned $2.4m per month in Q4 against a balance sheet of $38m, providing fifteen months of runway. Hiring was paused in November pending board direction on Series C timing. [2], [3]</w:t>
      </w:r>
    </w:p>
    <w:p>
      <w:pPr>
        <w:spacing w:before="280" w:after="120"/>
      </w:pPr>
      <w:r>
        <w:rPr>
          <w:rFonts w:ascii="Calibri" w:hAnsi="Calibri"/>
          <w:b/>
          <w:color w:val="0A1F44"/>
          <w:sz w:val="28"/>
        </w:rPr>
        <w:t>Compliance Posture and Enterprise Requirements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SOC2 Type II audit completed in Q4 with one finding related to access-review cadence; remediation is due by end of Q1. A full external penetration test identified two medium-severity findings, both of which have been closed. ISO 27001 certification is planned for H2 of next year, contingent on board budget approval.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Three enterprise customers have requested EU-only data storage. Engineering estimates one quarter of work to implement, with an incremental AWS cost of $380k per quarter. The request signals enterprise traction but remains unfunded. [1]</w:t>
      </w:r>
    </w:p>
    <w:p>
      <w:pPr>
        <w:spacing w:before="280" w:after="120"/>
      </w:pPr>
      <w:r>
        <w:rPr>
          <w:rFonts w:ascii="Calibri" w:hAnsi="Calibri"/>
          <w:b/>
          <w:color w:val="0A1F44"/>
          <w:sz w:val="28"/>
        </w:rPr>
        <w:t>Implications for Series C Positioning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combination of declining net revenue retention, a Rule of 40 score nineteen points below peer median, and fifteen months of runway creates a compressed timeline for fundraising preparation. The hiring pause implemented in November provides margin relief but also signals operational constraint to potential investors.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Restoration of expansion revenue and demonstrated pricing discipline in Q1 and Q2 renewals will be critical to credibility. The path to peer-median Rule of 40 exists if management executes the articulated plan, but the company approaches Series C discussions from a position requiring operational proof points rather than momentum alone. [2], [3]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Sources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[1]  </w:t>
      </w:r>
      <w:r>
        <w:rPr>
          <w:rFonts w:ascii="Georgia" w:hAnsi="Georgia"/>
          <w:color w:val="111827"/>
          <w:sz w:val="20"/>
        </w:rPr>
        <w:t>Security &amp; Compliance — Q4 Status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[2]  </w:t>
      </w:r>
      <w:r>
        <w:rPr>
          <w:rFonts w:ascii="Georgia" w:hAnsi="Georgia"/>
          <w:color w:val="111827"/>
          <w:sz w:val="20"/>
        </w:rPr>
        <w:t>CFO Memo — Rule of 40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[3]  </w:t>
      </w:r>
      <w:r>
        <w:rPr>
          <w:rFonts w:ascii="Georgia" w:hAnsi="Georgia"/>
          <w:color w:val="111827"/>
          <w:sz w:val="20"/>
        </w:rPr>
        <w:t>Board Pack Q4 — Operating Review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6"/>
      </w:rPr>
      <w:t xml:space="preserve">  AKKI  ·  Committee  ·  Internal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  <w:rFonts w:ascii="Georgia" w:hAnsi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