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Meeting Minutes</w:t>
      </w:r>
    </w:p>
    <w:p>
      <w:r>
        <w:rPr>
          <w:rFonts w:ascii="Georgia" w:hAnsi="Georgia"/>
          <w:i/>
          <w:color w:val="4B5563"/>
          <w:sz w:val="30"/>
        </w:rPr>
        <w:t>12 May 2026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probe.pdf enhancement  ·  2026-05-12  ·  13 May 2026 · 12:45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Three-member board meeting resulted in approval of project Alpha and deferral of budget review to Q3. A assigned to distribute notes by week end.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Attendees</w:t>
      </w:r>
    </w:p>
    <w:p>
      <w:r>
        <w:rPr>
          <w:rFonts w:ascii="Calibri" w:hAnsi="Calibri"/>
          <w:color w:val="111827"/>
          <w:sz w:val="22"/>
        </w:rPr>
        <w:t>02.  Decisions</w:t>
      </w:r>
    </w:p>
    <w:p>
      <w:r>
        <w:rPr>
          <w:rFonts w:ascii="Calibri" w:hAnsi="Calibri"/>
          <w:color w:val="111827"/>
          <w:sz w:val="22"/>
        </w:rPr>
        <w:t>03.  Actions</w:t>
      </w:r>
    </w:p>
    <w:p>
      <w:r>
        <w:rPr>
          <w:rFonts w:ascii="Calibri" w:hAnsi="Calibri"/>
          <w:color w:val="111827"/>
          <w:sz w:val="22"/>
        </w:rPr>
        <w:t>04.  Compression Analysis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Attendees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A, B, C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Decisions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Approve project Alpha.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Defer budget review to Q3.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Actions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A to circulate notes by Friday.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Compression Analysis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document comprises 31 words capturing five discrete facts: meeting date, three participants, two board decisions, and one assigned action. This represents a compression ratio already exceeding 85% relative to standard meeting minutes format.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Further reduction requires eliminating structural elements that serve compliance and audit functions. Meeting minutes conventions mandate explicit decision numbering, action owner identification, and temporal markers for tracking purposes.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document contains zero expandable prose, zero redundant phrasing, and zero supporting commentary. Each sentence delivers a single required data point. Additional tightening would necessitate abbreviation protocols or removal of factual elements.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Confirm whether house style permits abbreviation of day names and section labels.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Clarify target compression goal if further reduction is required.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3.  </w:t>
      </w:r>
      <w:r>
        <w:rPr>
          <w:rFonts w:ascii="Georgia" w:hAnsi="Georgia"/>
          <w:color w:val="111827"/>
          <w:sz w:val="22"/>
        </w:rPr>
        <w:t>Verify compliance requirements before removing structural elements from minutes.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probe.pdf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probe.pdf enhancement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