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Audit Committee Pack — QA Regression Validation</w:t>
      </w:r>
    </w:p>
    <w:p>
      <w:r>
        <w:rPr>
          <w:rFonts w:ascii="Georgia" w:hAnsi="Georgia"/>
          <w:i/>
          <w:color w:val="4B5563"/>
          <w:sz w:val="30"/>
        </w:rPr>
        <w:t>Systems test document — no attendees recorded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Audit Committee  ·  2024  ·  25 May 2026 · 14:02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document serves as a quality assurance regression test case validating that committee packs are processed as first-class enhancement artefacts within the AKKI workflow. No substantive audit findings, risk assessments, or governance matters are presented for committee consideration.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Purpose and Scope</w:t>
      </w:r>
    </w:p>
    <w:p>
      <w:r>
        <w:rPr>
          <w:rFonts w:ascii="Calibri" w:hAnsi="Calibri"/>
          <w:color w:val="111827"/>
          <w:sz w:val="22"/>
        </w:rPr>
        <w:t>02.  Quality Assurance Validation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Purpose and Scope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Test Case Documentation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artefact validates technical infrastructure rather than presenting audit committee business. The source material contains metadata describing its own function as a regression test.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No financial controls, risk registers, management letters, or compliance updates are included. The document confirms system capability to handle committee_pack enhancement requests.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Quality Assurance Validation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Enhancement Workflow Verification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test confirms the enhancement pipeline correctly identifies committee_pack as a first-class artefact kind and applies appropriate processing rules.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validation occurred within QA Chunk 7, establishing baseline functionality for committee documentation workflows. [1]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source.docx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Audit Committee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