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Infrastructure validation artefact</w:t>
      </w:r>
    </w:p>
    <w:p>
      <w:pPr>
        <w:spacing w:before="400"/>
      </w:pPr>
      <w:r>
        <w:rPr>
          <w:rFonts w:ascii="Calibri" w:hAnsi="Calibri"/>
          <w:color w:val="4B5563"/>
          <w:sz w:val="20"/>
        </w:rPr>
        <w:t>Prepared for QA Chunk 7 regression  ·  2024  ·  20 May 2026 · 05:56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artefact to verify that Committee Pack is recognised as a first-class enhancement kind within the AKKI system. No substantive audit committee content is present in the source material provided. The exercise validates system behaviour when processing minimal input under the committee_pack taxonomy.</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System Taxonomy Validation</w:t>
      </w:r>
    </w:p>
    <w:p>
      <w:r>
        <w:rPr>
          <w:rFonts w:ascii="Calibri" w:hAnsi="Calibri"/>
          <w:color w:val="111827"/>
          <w:sz w:val="22"/>
        </w:rPr>
        <w:t>03.  Editorial Enhancement Applicability</w:t>
      </w:r>
    </w:p>
    <w:p>
      <w:r>
        <w:rPr>
          <w:rFonts w:ascii="Calibri" w:hAnsi="Calibri"/>
          <w:color w:val="111827"/>
          <w:sz w:val="22"/>
        </w:rPr>
        <w:t>04.  Operational Observations</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scope analysis</w:t>
      </w:r>
    </w:p>
    <w:p>
      <w:pPr>
        <w:spacing w:after="120"/>
      </w:pPr>
      <w:r>
        <w:rPr>
          <w:rFonts w:ascii="Georgia" w:hAnsi="Georgia"/>
          <w:i w:val="0"/>
          <w:color w:val="111827"/>
          <w:sz w:val="22"/>
        </w:rPr>
        <w:t>The source artefact contains two lines of metadata describing the document's testing purpose. No audit committee business, financial controls, risk registers, or governance matters are present.</w:t>
      </w:r>
    </w:p>
    <w:p>
      <w:pPr>
        <w:spacing w:after="120"/>
      </w:pPr>
      <w:r>
        <w:rPr>
          <w:rFonts w:ascii="Georgia" w:hAnsi="Georgia"/>
          <w:i w:val="0"/>
          <w:color w:val="111827"/>
          <w:sz w:val="22"/>
        </w:rPr>
        <w:t>The instruction requests editorial tightening of audit committee wording, but the scope boundary contains no such content to process. This creates a material constraint on deliverable production.</w:t>
      </w:r>
    </w:p>
    <w:p>
      <w:pPr>
        <w:spacing w:after="120"/>
      </w:pPr>
      <w:r>
        <w:rPr>
          <w:rFonts w:ascii="Georgia" w:hAnsi="Georgia"/>
          <w:i w:val="0"/>
          <w:color w:val="111827"/>
          <w:sz w:val="22"/>
        </w:rPr>
        <w:t>The token budget allocation and preservation instructions anticipate multi-section documents with citations, yet the provided text comprises only self-referential test markers. [1]</w:t>
      </w:r>
    </w:p>
    <w:p/>
    <w:p>
      <w:pPr>
        <w:spacing w:before="400" w:after="120"/>
      </w:pPr>
      <w:r>
        <w:rPr>
          <w:rFonts w:ascii="Calibri" w:hAnsi="Calibri"/>
          <w:b/>
          <w:color w:val="0A1F44"/>
          <w:sz w:val="40"/>
        </w:rPr>
        <w:t>System Taxonomy Validation</w:t>
      </w:r>
    </w:p>
    <w:p>
      <w:pPr>
        <w:spacing w:after="120"/>
      </w:pPr>
      <w:r>
        <w:rPr>
          <w:rFonts w:ascii="Georgia" w:hAnsi="Georgia"/>
          <w:i/>
          <w:color w:val="4B5563"/>
          <w:sz w:val="22"/>
        </w:rPr>
        <w:t>First-class kind verification</w:t>
      </w:r>
    </w:p>
    <w:p>
      <w:pPr>
        <w:spacing w:after="120"/>
      </w:pPr>
      <w:r>
        <w:rPr>
          <w:rFonts w:ascii="Georgia" w:hAnsi="Georgia"/>
          <w:i w:val="0"/>
          <w:color w:val="111827"/>
          <w:sz w:val="22"/>
        </w:rPr>
        <w:t>The explicit reference to verifying 'Committee Pack is now a first-class enhance kind' indicates this artefact serves infrastructure quality assurance purposes.</w:t>
      </w:r>
    </w:p>
    <w:p>
      <w:pPr>
        <w:spacing w:after="120"/>
      </w:pPr>
      <w:r>
        <w:rPr>
          <w:rFonts w:ascii="Georgia" w:hAnsi="Georgia"/>
          <w:i w:val="0"/>
          <w:color w:val="111827"/>
          <w:sz w:val="22"/>
        </w:rPr>
        <w:t>The regression label and truncation notice suggest intentional minimal content state, designed to test system handling of edge cases within the committee_pack classification.</w:t>
      </w:r>
    </w:p>
    <w:p>
      <w:pPr>
        <w:spacing w:after="120"/>
      </w:pPr>
      <w:r>
        <w:rPr>
          <w:rFonts w:ascii="Georgia" w:hAnsi="Georgia"/>
          <w:i w:val="0"/>
          <w:color w:val="111827"/>
          <w:sz w:val="22"/>
        </w:rPr>
        <w:t>Successful processing of this input confirms the taxonomy can accept committee_pack kind documents and route them through the enhancement rail, independent of content volume. [1]</w:t>
      </w:r>
    </w:p>
    <w:p/>
    <w:p>
      <w:pPr>
        <w:spacing w:before="400" w:after="120"/>
      </w:pPr>
      <w:r>
        <w:rPr>
          <w:rFonts w:ascii="Calibri" w:hAnsi="Calibri"/>
          <w:b/>
          <w:color w:val="0A1F44"/>
          <w:sz w:val="40"/>
        </w:rPr>
        <w:t>Editorial Enhancement Applicability</w:t>
      </w:r>
    </w:p>
    <w:p>
      <w:pPr>
        <w:spacing w:after="120"/>
      </w:pPr>
      <w:r>
        <w:rPr>
          <w:rFonts w:ascii="Georgia" w:hAnsi="Georgia"/>
          <w:i/>
          <w:color w:val="4B5563"/>
          <w:sz w:val="22"/>
        </w:rPr>
        <w:t>Instruction-to-content gap</w:t>
      </w:r>
    </w:p>
    <w:p>
      <w:pPr>
        <w:spacing w:after="120"/>
      </w:pPr>
      <w:r>
        <w:rPr>
          <w:rFonts w:ascii="Georgia" w:hAnsi="Georgia"/>
          <w:i w:val="0"/>
          <w:color w:val="111827"/>
          <w:sz w:val="22"/>
        </w:rPr>
        <w:t>The request to 'tighten the wording for the audit committee' presumes substantive governance content requiring precision enhancement, authority gradient adjustment, or structural reduction.</w:t>
      </w:r>
    </w:p>
    <w:p>
      <w:pPr>
        <w:spacing w:after="120"/>
      </w:pPr>
      <w:r>
        <w:rPr>
          <w:rFonts w:ascii="Georgia" w:hAnsi="Georgia"/>
          <w:i w:val="0"/>
          <w:color w:val="111827"/>
          <w:sz w:val="22"/>
        </w:rPr>
        <w:t>Without source paragraphs discussing internal controls, audit findings, risk assessments, or committee recommendations, editorial operations cannot be meaningfully applied.</w:t>
      </w:r>
    </w:p>
    <w:p>
      <w:pPr>
        <w:spacing w:after="120"/>
      </w:pPr>
      <w:r>
        <w:rPr>
          <w:rFonts w:ascii="Georgia" w:hAnsi="Georgia"/>
          <w:i w:val="0"/>
          <w:color w:val="111827"/>
          <w:sz w:val="22"/>
        </w:rPr>
        <w:t>This scenario likely tests whether the system gracefully handles minimal input or surfaces the content gap for user resolution. [1]</w:t>
      </w:r>
    </w:p>
    <w:p/>
    <w:p>
      <w:pPr>
        <w:spacing w:before="400" w:after="120"/>
      </w:pPr>
      <w:r>
        <w:rPr>
          <w:rFonts w:ascii="Calibri" w:hAnsi="Calibri"/>
          <w:b/>
          <w:color w:val="0A1F44"/>
          <w:sz w:val="40"/>
        </w:rPr>
        <w:t>Operational Observations</w:t>
      </w:r>
    </w:p>
    <w:p>
      <w:pPr>
        <w:spacing w:after="120"/>
      </w:pPr>
      <w:r>
        <w:rPr>
          <w:rFonts w:ascii="Georgia" w:hAnsi="Georgia"/>
          <w:i/>
          <w:color w:val="4B5563"/>
          <w:sz w:val="22"/>
        </w:rPr>
        <w:t>Quality assurance context</w:t>
      </w:r>
    </w:p>
    <w:p>
      <w:pPr>
        <w:spacing w:after="120"/>
      </w:pPr>
      <w:r>
        <w:rPr>
          <w:rFonts w:ascii="Georgia" w:hAnsi="Georgia"/>
          <w:i w:val="0"/>
          <w:color w:val="111827"/>
          <w:sz w:val="22"/>
        </w:rPr>
        <w:t>The QA Chunk 7 designation positions this within a systematic validation sequence, testing the committee_pack enhancement pathway against known edge conditions.</w:t>
      </w:r>
    </w:p>
    <w:p>
      <w:pPr>
        <w:spacing w:after="120"/>
      </w:pPr>
      <w:r>
        <w:rPr>
          <w:rFonts w:ascii="Georgia" w:hAnsi="Georgia"/>
          <w:i w:val="0"/>
          <w:color w:val="111827"/>
          <w:sz w:val="22"/>
        </w:rPr>
        <w:t>Production audit committee packs would contain agenda topics, management presentations, control environment assessments, and committee decisions requiring synthesis into executive summaries and action recommendations.</w:t>
      </w:r>
    </w:p>
    <w:p>
      <w:pPr>
        <w:spacing w:after="120"/>
      </w:pPr>
      <w:r>
        <w:rPr>
          <w:rFonts w:ascii="Georgia" w:hAnsi="Georgia"/>
          <w:i w:val="0"/>
          <w:color w:val="111827"/>
          <w:sz w:val="22"/>
        </w:rPr>
        <w:t>The current artefact's minimal state serves diagnostic purposes rather than governance communication needs.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